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
        <w:gridCol w:w="2870"/>
        <w:gridCol w:w="602"/>
        <w:gridCol w:w="7195"/>
      </w:tblGrid>
      <w:tr w:rsidR="005C2672" w:rsidRPr="001B10A5" w14:paraId="1D0C52FB" w14:textId="77777777" w:rsidTr="000C783A">
        <w:trPr>
          <w:gridBefore w:val="1"/>
          <w:wBefore w:w="73" w:type="dxa"/>
          <w:trHeight w:val="432"/>
        </w:trPr>
        <w:tc>
          <w:tcPr>
            <w:tcW w:w="3472" w:type="dxa"/>
            <w:gridSpan w:val="2"/>
            <w:tcBorders>
              <w:bottom w:val="single" w:sz="4" w:space="0" w:color="auto"/>
            </w:tcBorders>
            <w:shd w:val="clear" w:color="auto" w:fill="005E2A"/>
            <w:vAlign w:val="center"/>
          </w:tcPr>
          <w:p w14:paraId="061A9880" w14:textId="10E4753A" w:rsidR="00F608C6" w:rsidRDefault="00F608C6" w:rsidP="000904CB">
            <w:pPr>
              <w:spacing w:before="240" w:after="240"/>
              <w:ind w:left="144"/>
              <w:rPr>
                <w:rFonts w:ascii="Open Sans Light" w:hAnsi="Open Sans Light"/>
                <w:sz w:val="40"/>
                <w:szCs w:val="40"/>
              </w:rPr>
            </w:pPr>
            <w:r w:rsidRPr="009A27F4">
              <w:rPr>
                <w:rFonts w:ascii="Open Sans Light" w:hAnsi="Open Sans Light"/>
                <w:color w:val="FFFFFF" w:themeColor="background1"/>
                <w:sz w:val="40"/>
                <w:szCs w:val="40"/>
              </w:rPr>
              <w:t>Equity Research</w:t>
            </w:r>
            <w:r w:rsidR="00552F05" w:rsidRPr="009A27F4">
              <w:rPr>
                <w:rFonts w:ascii="Open Sans Light" w:hAnsi="Open Sans Light"/>
                <w:color w:val="FFFFFF" w:themeColor="background1"/>
                <w:sz w:val="40"/>
                <w:szCs w:val="40"/>
              </w:rPr>
              <w:t>;</w:t>
            </w:r>
            <w:r w:rsidR="00E14A59">
              <w:rPr>
                <w:rFonts w:ascii="Open Sans Light" w:hAnsi="Open Sans Light"/>
                <w:color w:val="FFFFFF" w:themeColor="background1"/>
                <w:sz w:val="40"/>
                <w:szCs w:val="40"/>
              </w:rPr>
              <w:t xml:space="preserve"> </w:t>
            </w:r>
            <w:r w:rsidR="005A57E6">
              <w:rPr>
                <w:rFonts w:ascii="Open Sans Light" w:hAnsi="Open Sans Light"/>
                <w:color w:val="FFFFFF" w:themeColor="background1"/>
                <w:sz w:val="40"/>
                <w:szCs w:val="40"/>
              </w:rPr>
              <w:t>UK Autumn Budget</w:t>
            </w:r>
            <w:r w:rsidR="00387DBC">
              <w:rPr>
                <w:rFonts w:ascii="Open Sans Light" w:hAnsi="Open Sans Light"/>
                <w:color w:val="FFFFFF" w:themeColor="background1"/>
                <w:sz w:val="40"/>
                <w:szCs w:val="40"/>
              </w:rPr>
              <w:t xml:space="preserve"> </w:t>
            </w:r>
            <w:r w:rsidR="00B42FE6">
              <w:rPr>
                <w:rFonts w:ascii="Open Sans Light" w:hAnsi="Open Sans Light"/>
                <w:color w:val="FFFFFF" w:themeColor="background1"/>
                <w:sz w:val="40"/>
                <w:szCs w:val="40"/>
              </w:rPr>
              <w:t>2021</w:t>
            </w:r>
          </w:p>
        </w:tc>
        <w:tc>
          <w:tcPr>
            <w:tcW w:w="7195" w:type="dxa"/>
            <w:tcBorders>
              <w:bottom w:val="single" w:sz="4" w:space="0" w:color="auto"/>
            </w:tcBorders>
            <w:shd w:val="clear" w:color="auto" w:fill="005E2A"/>
            <w:vAlign w:val="center"/>
          </w:tcPr>
          <w:p w14:paraId="5D6C4127" w14:textId="7A6815D5" w:rsidR="00F608C6" w:rsidRPr="001B10A5" w:rsidRDefault="00F608C6" w:rsidP="001D4E4E">
            <w:pPr>
              <w:spacing w:before="240" w:after="240"/>
              <w:ind w:right="144"/>
              <w:jc w:val="right"/>
              <w:rPr>
                <w:rFonts w:ascii="Open Sans Light" w:hAnsi="Open Sans Light"/>
                <w:sz w:val="40"/>
                <w:szCs w:val="40"/>
              </w:rPr>
            </w:pPr>
            <w:r>
              <w:rPr>
                <w:rFonts w:ascii="Open Sans Light" w:hAnsi="Open Sans Light"/>
                <w:noProof/>
                <w:sz w:val="40"/>
                <w:szCs w:val="40"/>
                <w:lang w:val="en-GB" w:eastAsia="en-GB"/>
              </w:rPr>
              <w:drawing>
                <wp:inline distT="0" distB="0" distL="0" distR="0" wp14:anchorId="05D41771" wp14:editId="3AB447B1">
                  <wp:extent cx="2348630" cy="222715"/>
                  <wp:effectExtent l="0" t="0" r="0" b="6350"/>
                  <wp:docPr id="6" name="Picture 6" descr="../../../../Downloads/c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s/cs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630" cy="222715"/>
                          </a:xfrm>
                          <a:prstGeom prst="rect">
                            <a:avLst/>
                          </a:prstGeom>
                          <a:noFill/>
                          <a:ln>
                            <a:noFill/>
                          </a:ln>
                        </pic:spPr>
                      </pic:pic>
                    </a:graphicData>
                  </a:graphic>
                </wp:inline>
              </w:drawing>
            </w:r>
          </w:p>
        </w:tc>
      </w:tr>
      <w:tr w:rsidR="005C2672" w:rsidRPr="001B10A5" w14:paraId="26093F8F" w14:textId="77777777" w:rsidTr="000C783A">
        <w:tblPrEx>
          <w:tblCellMar>
            <w:left w:w="108" w:type="dxa"/>
            <w:right w:w="108" w:type="dxa"/>
          </w:tblCellMar>
        </w:tblPrEx>
        <w:trPr>
          <w:gridBefore w:val="1"/>
          <w:wBefore w:w="73" w:type="dxa"/>
          <w:trHeight w:val="345"/>
        </w:trPr>
        <w:tc>
          <w:tcPr>
            <w:tcW w:w="2870" w:type="dxa"/>
            <w:tcBorders>
              <w:top w:val="single" w:sz="48" w:space="0" w:color="FFFFFF"/>
              <w:right w:val="single" w:sz="48" w:space="0" w:color="FFFFFF"/>
            </w:tcBorders>
          </w:tcPr>
          <w:tbl>
            <w:tblPr>
              <w:tblStyle w:val="TableGrid"/>
              <w:tblW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tblGrid>
            <w:tr w:rsidR="002366E3" w:rsidRPr="002366E3" w14:paraId="79DFC852" w14:textId="77777777" w:rsidTr="004D2579">
              <w:tc>
                <w:tcPr>
                  <w:tcW w:w="2880" w:type="dxa"/>
                  <w:tcBorders>
                    <w:bottom w:val="single" w:sz="24" w:space="0" w:color="FFFFFF" w:themeColor="background1"/>
                  </w:tcBorders>
                  <w:shd w:val="clear" w:color="auto" w:fill="005D2A"/>
                </w:tcPr>
                <w:p w14:paraId="6D268596" w14:textId="1914E34F" w:rsidR="002366E3" w:rsidRPr="002366E3" w:rsidRDefault="002366E3" w:rsidP="0014734B">
                  <w:pPr>
                    <w:spacing w:before="100" w:after="100"/>
                    <w:rPr>
                      <w:rFonts w:ascii="Open Sans Light" w:hAnsi="Open Sans Light"/>
                      <w:sz w:val="22"/>
                    </w:rPr>
                  </w:pPr>
                  <w:r w:rsidRPr="002366E3">
                    <w:rPr>
                      <w:rFonts w:ascii="Open Sans Light" w:hAnsi="Open Sans Light"/>
                    </w:rPr>
                    <w:t>Research Report</w:t>
                  </w:r>
                </w:p>
              </w:tc>
            </w:tr>
            <w:tr w:rsidR="002366E3" w:rsidRPr="002366E3" w14:paraId="6001998E" w14:textId="77777777" w:rsidTr="004D2579">
              <w:tc>
                <w:tcPr>
                  <w:tcW w:w="2880" w:type="dxa"/>
                  <w:tcBorders>
                    <w:top w:val="single" w:sz="24" w:space="0" w:color="FFFFFF" w:themeColor="background1"/>
                  </w:tcBorders>
                  <w:shd w:val="clear" w:color="auto" w:fill="E7E6E6" w:themeFill="background2"/>
                </w:tcPr>
                <w:p w14:paraId="2627CD74" w14:textId="34337C3D" w:rsidR="002366E3" w:rsidRPr="002366E3" w:rsidRDefault="002366E3" w:rsidP="00D20604">
                  <w:pPr>
                    <w:spacing w:before="60" w:after="60"/>
                    <w:rPr>
                      <w:rFonts w:ascii="Open Sans Light" w:hAnsi="Open Sans Light"/>
                      <w:sz w:val="22"/>
                    </w:rPr>
                  </w:pPr>
                  <w:r w:rsidRPr="002366E3">
                    <w:rPr>
                      <w:rFonts w:ascii="Open Sans Light" w:hAnsi="Open Sans Light"/>
                      <w:sz w:val="22"/>
                    </w:rPr>
                    <w:t>Report Date</w:t>
                  </w:r>
                </w:p>
              </w:tc>
            </w:tr>
            <w:tr w:rsidR="002366E3" w:rsidRPr="002366E3" w14:paraId="3F6290F7" w14:textId="77777777" w:rsidTr="004D2579">
              <w:trPr>
                <w:trHeight w:val="585"/>
              </w:trPr>
              <w:tc>
                <w:tcPr>
                  <w:tcW w:w="2880" w:type="dxa"/>
                </w:tcPr>
                <w:p w14:paraId="386CC231" w14:textId="7C7D834B" w:rsidR="002366E3" w:rsidRPr="002366E3" w:rsidRDefault="005A57E6" w:rsidP="00DC5CD7">
                  <w:pPr>
                    <w:spacing w:before="60" w:after="60"/>
                    <w:rPr>
                      <w:rFonts w:ascii="Open Sans Light" w:hAnsi="Open Sans Light"/>
                      <w:sz w:val="22"/>
                    </w:rPr>
                  </w:pPr>
                  <w:r>
                    <w:rPr>
                      <w:rFonts w:ascii="Open Sans Light" w:hAnsi="Open Sans Light"/>
                      <w:sz w:val="22"/>
                    </w:rPr>
                    <w:t>27</w:t>
                  </w:r>
                  <w:r w:rsidR="007D4569">
                    <w:rPr>
                      <w:rFonts w:ascii="Open Sans Light" w:hAnsi="Open Sans Light"/>
                      <w:sz w:val="22"/>
                    </w:rPr>
                    <w:t>th</w:t>
                  </w:r>
                  <w:r w:rsidR="00F6339C">
                    <w:rPr>
                      <w:rFonts w:ascii="Open Sans Light" w:hAnsi="Open Sans Light"/>
                      <w:sz w:val="22"/>
                    </w:rPr>
                    <w:t xml:space="preserve"> </w:t>
                  </w:r>
                  <w:r w:rsidR="00387DBC">
                    <w:rPr>
                      <w:rFonts w:ascii="Open Sans Light" w:hAnsi="Open Sans Light"/>
                      <w:sz w:val="22"/>
                    </w:rPr>
                    <w:t>October</w:t>
                  </w:r>
                  <w:r w:rsidR="0000025A">
                    <w:rPr>
                      <w:rFonts w:ascii="Open Sans Light" w:hAnsi="Open Sans Light"/>
                      <w:sz w:val="22"/>
                    </w:rPr>
                    <w:t xml:space="preserve"> 20</w:t>
                  </w:r>
                  <w:r w:rsidR="009262D5">
                    <w:rPr>
                      <w:rFonts w:ascii="Open Sans Light" w:hAnsi="Open Sans Light"/>
                      <w:sz w:val="22"/>
                    </w:rPr>
                    <w:t>2</w:t>
                  </w:r>
                  <w:r w:rsidR="00387DBC">
                    <w:rPr>
                      <w:rFonts w:ascii="Open Sans Light" w:hAnsi="Open Sans Light"/>
                      <w:sz w:val="22"/>
                    </w:rPr>
                    <w:t>1</w:t>
                  </w:r>
                </w:p>
              </w:tc>
            </w:tr>
            <w:tr w:rsidR="002366E3" w:rsidRPr="002366E3" w14:paraId="01C5EC3B" w14:textId="77777777" w:rsidTr="004D2579">
              <w:tc>
                <w:tcPr>
                  <w:tcW w:w="2880" w:type="dxa"/>
                  <w:shd w:val="clear" w:color="auto" w:fill="E7E6E6" w:themeFill="background2"/>
                </w:tcPr>
                <w:p w14:paraId="3B3F2D9E" w14:textId="0D0159DE" w:rsidR="002366E3" w:rsidRPr="002366E3" w:rsidRDefault="002366E3" w:rsidP="00D20604">
                  <w:pPr>
                    <w:spacing w:before="60" w:after="60"/>
                    <w:rPr>
                      <w:rFonts w:ascii="Open Sans Light" w:hAnsi="Open Sans Light"/>
                      <w:sz w:val="22"/>
                    </w:rPr>
                  </w:pPr>
                  <w:r w:rsidRPr="002366E3">
                    <w:rPr>
                      <w:rFonts w:ascii="Open Sans Light" w:hAnsi="Open Sans Light"/>
                      <w:sz w:val="22"/>
                    </w:rPr>
                    <w:t>Analyst</w:t>
                  </w:r>
                </w:p>
              </w:tc>
            </w:tr>
            <w:tr w:rsidR="002366E3" w:rsidRPr="002366E3" w14:paraId="3B43D447" w14:textId="77777777" w:rsidTr="004D2579">
              <w:trPr>
                <w:trHeight w:val="1107"/>
              </w:trPr>
              <w:tc>
                <w:tcPr>
                  <w:tcW w:w="2880" w:type="dxa"/>
                </w:tcPr>
                <w:p w14:paraId="61C83D48" w14:textId="7854AB20" w:rsidR="00D20604" w:rsidRPr="002366E3" w:rsidRDefault="002366E3" w:rsidP="00D20604">
                  <w:pPr>
                    <w:spacing w:before="60" w:after="60"/>
                    <w:rPr>
                      <w:rFonts w:ascii="Open Sans Light" w:hAnsi="Open Sans Light"/>
                      <w:sz w:val="22"/>
                    </w:rPr>
                  </w:pPr>
                  <w:r w:rsidRPr="002366E3">
                    <w:rPr>
                      <w:rFonts w:ascii="Open Sans Light" w:hAnsi="Open Sans Light"/>
                      <w:sz w:val="22"/>
                    </w:rPr>
                    <w:t xml:space="preserve">Ravi Lockyer MSc </w:t>
                  </w:r>
                  <w:proofErr w:type="spellStart"/>
                  <w:r w:rsidRPr="002366E3">
                    <w:rPr>
                      <w:rFonts w:ascii="Open Sans Light" w:hAnsi="Open Sans Light"/>
                      <w:sz w:val="22"/>
                    </w:rPr>
                    <w:t>Llb</w:t>
                  </w:r>
                  <w:proofErr w:type="spellEnd"/>
                  <w:r w:rsidR="00352A25">
                    <w:rPr>
                      <w:rFonts w:ascii="Open Sans Light" w:hAnsi="Open Sans Light"/>
                      <w:sz w:val="22"/>
                    </w:rPr>
                    <w:t xml:space="preserve"> ASCI</w:t>
                  </w:r>
                </w:p>
                <w:p w14:paraId="21044124" w14:textId="723A1A5D" w:rsidR="002366E3" w:rsidRPr="002366E3" w:rsidRDefault="002366E3" w:rsidP="00D20604">
                  <w:pPr>
                    <w:spacing w:before="60" w:after="60"/>
                    <w:rPr>
                      <w:rFonts w:ascii="Open Sans Light" w:hAnsi="Open Sans Light"/>
                      <w:sz w:val="22"/>
                    </w:rPr>
                  </w:pPr>
                  <w:r w:rsidRPr="00F30F79">
                    <w:rPr>
                      <w:rFonts w:ascii="Open Sans Light" w:hAnsi="Open Sans Light"/>
                      <w:sz w:val="20"/>
                    </w:rPr>
                    <w:t>Collins Sarri Statham Investments Ltd</w:t>
                  </w:r>
                </w:p>
              </w:tc>
            </w:tr>
            <w:tr w:rsidR="00FF4B84" w:rsidRPr="002366E3" w14:paraId="2D0424F1" w14:textId="77777777" w:rsidTr="004D2579">
              <w:trPr>
                <w:trHeight w:val="468"/>
              </w:trPr>
              <w:tc>
                <w:tcPr>
                  <w:tcW w:w="2880" w:type="dxa"/>
                  <w:shd w:val="clear" w:color="auto" w:fill="E7E6E6"/>
                </w:tcPr>
                <w:p w14:paraId="71999C0A" w14:textId="07416B31" w:rsidR="00FF4B84" w:rsidRDefault="00FF4B84" w:rsidP="00D20604">
                  <w:pPr>
                    <w:spacing w:before="60" w:after="60"/>
                    <w:rPr>
                      <w:rFonts w:ascii="Open Sans Light" w:hAnsi="Open Sans Light"/>
                      <w:sz w:val="22"/>
                    </w:rPr>
                  </w:pPr>
                  <w:r w:rsidRPr="00FF4B84">
                    <w:rPr>
                      <w:rFonts w:ascii="Open Sans Light" w:hAnsi="Open Sans Light"/>
                      <w:sz w:val="22"/>
                    </w:rPr>
                    <w:t>Key Risks to Price</w:t>
                  </w:r>
                  <w:r>
                    <w:rPr>
                      <w:rFonts w:ascii="Open Sans Light" w:hAnsi="Open Sans Light"/>
                      <w:sz w:val="22"/>
                    </w:rPr>
                    <w:t xml:space="preserve"> </w:t>
                  </w:r>
                  <w:r w:rsidRPr="00FF4B84">
                    <w:rPr>
                      <w:rFonts w:ascii="Open Sans Light" w:hAnsi="Open Sans Light"/>
                      <w:sz w:val="22"/>
                    </w:rPr>
                    <w:t>Target</w:t>
                  </w:r>
                </w:p>
              </w:tc>
            </w:tr>
            <w:tr w:rsidR="00FF4B84" w:rsidRPr="002366E3" w14:paraId="61BCDE04" w14:textId="77777777" w:rsidTr="004D2579">
              <w:trPr>
                <w:trHeight w:val="1449"/>
              </w:trPr>
              <w:tc>
                <w:tcPr>
                  <w:tcW w:w="2880" w:type="dxa"/>
                </w:tcPr>
                <w:p w14:paraId="2FEB1DE4" w14:textId="7CCCE2BA" w:rsidR="00E2304F" w:rsidRDefault="00E2304F" w:rsidP="00E2304F">
                  <w:pPr>
                    <w:spacing w:before="60" w:after="60"/>
                    <w:rPr>
                      <w:rFonts w:ascii="Open Sans Light" w:hAnsi="Open Sans Light"/>
                      <w:sz w:val="22"/>
                    </w:rPr>
                  </w:pPr>
                  <w:r>
                    <w:rPr>
                      <w:rFonts w:ascii="Open Sans Light" w:hAnsi="Open Sans Light"/>
                      <w:sz w:val="22"/>
                    </w:rPr>
                    <w:t>Not applicable</w:t>
                  </w:r>
                </w:p>
                <w:p w14:paraId="48915BF0" w14:textId="77777777" w:rsidR="00E2304F" w:rsidRDefault="00E2304F" w:rsidP="00E2304F">
                  <w:pPr>
                    <w:spacing w:before="60" w:after="60"/>
                    <w:rPr>
                      <w:rFonts w:ascii="Open Sans Light" w:hAnsi="Open Sans Light"/>
                      <w:sz w:val="22"/>
                    </w:rPr>
                  </w:pPr>
                </w:p>
                <w:p w14:paraId="03D6C7D5" w14:textId="69E67131" w:rsidR="00FF4B84" w:rsidRPr="00FF4B84" w:rsidRDefault="00FF4B84" w:rsidP="00E2304F">
                  <w:pPr>
                    <w:spacing w:before="60" w:after="60"/>
                    <w:rPr>
                      <w:rFonts w:ascii="Open Sans Light" w:hAnsi="Open Sans Light"/>
                      <w:i/>
                      <w:sz w:val="22"/>
                    </w:rPr>
                  </w:pPr>
                  <w:r w:rsidRPr="00FF4B84">
                    <w:rPr>
                      <w:rFonts w:ascii="Open Sans Light" w:hAnsi="Open Sans Light"/>
                      <w:i/>
                      <w:sz w:val="22"/>
                    </w:rPr>
                    <w:t>Please note the risk warnings and disclaimers on the last page of this document.</w:t>
                  </w:r>
                </w:p>
              </w:tc>
            </w:tr>
            <w:tr w:rsidR="00FF4B84" w:rsidRPr="002366E3" w14:paraId="42CD9014" w14:textId="77777777" w:rsidTr="004D2579">
              <w:trPr>
                <w:trHeight w:val="441"/>
              </w:trPr>
              <w:tc>
                <w:tcPr>
                  <w:tcW w:w="2880" w:type="dxa"/>
                  <w:shd w:val="clear" w:color="auto" w:fill="E7E6E6"/>
                </w:tcPr>
                <w:p w14:paraId="1C2E99C3" w14:textId="3AA5390F" w:rsidR="00FF4B84" w:rsidRPr="00FF4B84" w:rsidRDefault="00FF4B84" w:rsidP="00FF4B84">
                  <w:pPr>
                    <w:spacing w:before="60" w:after="60"/>
                    <w:rPr>
                      <w:rFonts w:ascii="Open Sans Light" w:hAnsi="Open Sans Light"/>
                      <w:sz w:val="22"/>
                    </w:rPr>
                  </w:pPr>
                </w:p>
              </w:tc>
            </w:tr>
          </w:tbl>
          <w:p w14:paraId="1337C626" w14:textId="7C4EDF1A" w:rsidR="001B10A5" w:rsidRPr="001B10A5" w:rsidRDefault="001B10A5" w:rsidP="0014734B">
            <w:pPr>
              <w:rPr>
                <w:rFonts w:ascii="Open Sans Light" w:hAnsi="Open Sans Light"/>
              </w:rPr>
            </w:pPr>
          </w:p>
        </w:tc>
        <w:tc>
          <w:tcPr>
            <w:tcW w:w="7797" w:type="dxa"/>
            <w:gridSpan w:val="2"/>
            <w:tcBorders>
              <w:top w:val="single" w:sz="48" w:space="0" w:color="FFFFFF"/>
              <w:left w:val="single" w:sz="48" w:space="0" w:color="FFFFFF"/>
            </w:tcBorders>
          </w:tcPr>
          <w:p w14:paraId="084064E7" w14:textId="6AE0FD82" w:rsidR="00DF6A8E" w:rsidRPr="00802AB8" w:rsidRDefault="005A57E6" w:rsidP="00DF6A8E">
            <w:pPr>
              <w:spacing w:after="120"/>
              <w:rPr>
                <w:rFonts w:ascii="Open Sans SemiBold" w:hAnsi="Open Sans SemiBold"/>
                <w:color w:val="005D2A"/>
                <w:sz w:val="32"/>
              </w:rPr>
            </w:pPr>
            <w:r>
              <w:rPr>
                <w:rFonts w:ascii="Open Sans SemiBold" w:hAnsi="Open Sans SemiBold"/>
                <w:color w:val="005D2A"/>
                <w:sz w:val="32"/>
              </w:rPr>
              <w:t>UK Autumn Budget</w:t>
            </w:r>
          </w:p>
          <w:p w14:paraId="1EF54C5B" w14:textId="07725BCD" w:rsidR="003F67DD" w:rsidRDefault="002A34F9" w:rsidP="002A34F9">
            <w:pPr>
              <w:spacing w:before="120" w:after="120"/>
              <w:jc w:val="both"/>
              <w:rPr>
                <w:rFonts w:ascii="Open Sans Light" w:hAnsi="Open Sans Light"/>
                <w:sz w:val="22"/>
              </w:rPr>
            </w:pPr>
            <w:r>
              <w:rPr>
                <w:rFonts w:ascii="Open Sans Light" w:hAnsi="Open Sans Light"/>
                <w:sz w:val="22"/>
              </w:rPr>
              <w:t xml:space="preserve">Chancellor Rishi Sunak’s autumn budget was well flagged in the media. </w:t>
            </w:r>
            <w:proofErr w:type="gramStart"/>
            <w:r>
              <w:rPr>
                <w:rFonts w:ascii="Open Sans Light" w:hAnsi="Open Sans Light"/>
                <w:sz w:val="22"/>
              </w:rPr>
              <w:t>Indeed</w:t>
            </w:r>
            <w:proofErr w:type="gramEnd"/>
            <w:r>
              <w:rPr>
                <w:rFonts w:ascii="Open Sans Light" w:hAnsi="Open Sans Light"/>
                <w:sz w:val="22"/>
              </w:rPr>
              <w:t xml:space="preserve"> the government was reprimanded in the House of Commons by the Speaker, Sir Lindsay Hoyle for the unprecedented leaking of specific Budget details on Monday.</w:t>
            </w:r>
          </w:p>
          <w:p w14:paraId="35DD2980" w14:textId="124BDA04" w:rsidR="003F67DD" w:rsidRPr="002A34F9" w:rsidRDefault="002A34F9" w:rsidP="00A128F8">
            <w:pPr>
              <w:pStyle w:val="ListParagraph"/>
              <w:numPr>
                <w:ilvl w:val="0"/>
                <w:numId w:val="13"/>
              </w:numPr>
              <w:spacing w:before="120" w:after="120"/>
              <w:jc w:val="both"/>
              <w:rPr>
                <w:rFonts w:ascii="Open Sans Light" w:hAnsi="Open Sans Light"/>
                <w:sz w:val="22"/>
              </w:rPr>
            </w:pPr>
            <w:r w:rsidRPr="002A34F9">
              <w:rPr>
                <w:rFonts w:ascii="Open Sans Light" w:hAnsi="Open Sans Light"/>
                <w:sz w:val="22"/>
              </w:rPr>
              <w:t xml:space="preserve">Economic </w:t>
            </w:r>
            <w:proofErr w:type="gramStart"/>
            <w:r w:rsidRPr="002A34F9">
              <w:rPr>
                <w:rFonts w:ascii="Open Sans Light" w:hAnsi="Open Sans Light"/>
                <w:sz w:val="22"/>
              </w:rPr>
              <w:t>Forecasts:-</w:t>
            </w:r>
            <w:proofErr w:type="gramEnd"/>
          </w:p>
          <w:p w14:paraId="79846A3E" w14:textId="77777777" w:rsidR="005A57E6" w:rsidRPr="005A57E6" w:rsidRDefault="005A57E6" w:rsidP="00A128F8">
            <w:pPr>
              <w:numPr>
                <w:ilvl w:val="0"/>
                <w:numId w:val="13"/>
              </w:numPr>
              <w:shd w:val="clear" w:color="auto" w:fill="FFFFFF"/>
              <w:textAlignment w:val="baseline"/>
              <w:rPr>
                <w:rFonts w:ascii="Open Sans Light" w:eastAsia="Times New Roman" w:hAnsi="Open Sans Light" w:cs="Open Sans Light"/>
                <w:color w:val="3F3F42"/>
                <w:sz w:val="22"/>
                <w:szCs w:val="22"/>
                <w:lang w:val="en-GB" w:eastAsia="en-GB"/>
              </w:rPr>
            </w:pPr>
            <w:r w:rsidRPr="005A57E6">
              <w:rPr>
                <w:rFonts w:ascii="Open Sans Light" w:eastAsia="Times New Roman" w:hAnsi="Open Sans Light" w:cs="Open Sans Light"/>
                <w:color w:val="3F3F42"/>
                <w:sz w:val="22"/>
                <w:szCs w:val="22"/>
                <w:lang w:val="en-GB" w:eastAsia="en-GB"/>
              </w:rPr>
              <w:t>Inflation in September was 3.1% and is likely to rise to average 4% over next year, OBR says</w:t>
            </w:r>
          </w:p>
          <w:p w14:paraId="67ECD8B6" w14:textId="77777777" w:rsidR="005A57E6" w:rsidRPr="005A57E6" w:rsidRDefault="005A57E6" w:rsidP="00A128F8">
            <w:pPr>
              <w:numPr>
                <w:ilvl w:val="0"/>
                <w:numId w:val="13"/>
              </w:numPr>
              <w:shd w:val="clear" w:color="auto" w:fill="FFFFFF"/>
              <w:spacing w:before="100" w:beforeAutospacing="1" w:after="100" w:afterAutospacing="1"/>
              <w:textAlignment w:val="baseline"/>
              <w:rPr>
                <w:rFonts w:ascii="Open Sans Light" w:eastAsia="Times New Roman" w:hAnsi="Open Sans Light" w:cs="Open Sans Light"/>
                <w:color w:val="3F3F42"/>
                <w:sz w:val="22"/>
                <w:szCs w:val="22"/>
                <w:lang w:val="en-GB" w:eastAsia="en-GB"/>
              </w:rPr>
            </w:pPr>
            <w:r w:rsidRPr="005A57E6">
              <w:rPr>
                <w:rFonts w:ascii="Open Sans Light" w:eastAsia="Times New Roman" w:hAnsi="Open Sans Light" w:cs="Open Sans Light"/>
                <w:color w:val="3F3F42"/>
                <w:sz w:val="22"/>
                <w:szCs w:val="22"/>
                <w:lang w:val="en-GB" w:eastAsia="en-GB"/>
              </w:rPr>
              <w:t>UK economy forecast to return to pre-Covid levels by 2022</w:t>
            </w:r>
          </w:p>
          <w:p w14:paraId="0442B8A1" w14:textId="77777777" w:rsidR="005A57E6" w:rsidRPr="005A57E6" w:rsidRDefault="005A57E6" w:rsidP="00A128F8">
            <w:pPr>
              <w:numPr>
                <w:ilvl w:val="0"/>
                <w:numId w:val="13"/>
              </w:numPr>
              <w:shd w:val="clear" w:color="auto" w:fill="FFFFFF"/>
              <w:spacing w:before="100" w:beforeAutospacing="1" w:after="100" w:afterAutospacing="1"/>
              <w:textAlignment w:val="baseline"/>
              <w:rPr>
                <w:rFonts w:ascii="Open Sans Light" w:eastAsia="Times New Roman" w:hAnsi="Open Sans Light" w:cs="Open Sans Light"/>
                <w:color w:val="3F3F42"/>
                <w:sz w:val="22"/>
                <w:szCs w:val="22"/>
                <w:lang w:val="en-GB" w:eastAsia="en-GB"/>
              </w:rPr>
            </w:pPr>
            <w:r w:rsidRPr="005A57E6">
              <w:rPr>
                <w:rFonts w:ascii="Open Sans Light" w:eastAsia="Times New Roman" w:hAnsi="Open Sans Light" w:cs="Open Sans Light"/>
                <w:color w:val="3F3F42"/>
                <w:sz w:val="22"/>
                <w:szCs w:val="22"/>
                <w:lang w:val="en-GB" w:eastAsia="en-GB"/>
              </w:rPr>
              <w:t>Annual growth set to rebound by 6.5% this year, followed by 6% in 2022</w:t>
            </w:r>
          </w:p>
          <w:p w14:paraId="0EB1AB4B" w14:textId="77777777" w:rsidR="005A57E6" w:rsidRPr="005A57E6" w:rsidRDefault="005A57E6" w:rsidP="00A128F8">
            <w:pPr>
              <w:numPr>
                <w:ilvl w:val="0"/>
                <w:numId w:val="13"/>
              </w:numPr>
              <w:shd w:val="clear" w:color="auto" w:fill="FFFFFF"/>
              <w:spacing w:before="100" w:beforeAutospacing="1" w:after="100" w:afterAutospacing="1"/>
              <w:textAlignment w:val="baseline"/>
              <w:rPr>
                <w:rFonts w:ascii="Open Sans Light" w:eastAsia="Times New Roman" w:hAnsi="Open Sans Light" w:cs="Open Sans Light"/>
                <w:color w:val="3F3F42"/>
                <w:sz w:val="22"/>
                <w:szCs w:val="22"/>
                <w:lang w:val="en-GB" w:eastAsia="en-GB"/>
              </w:rPr>
            </w:pPr>
            <w:r w:rsidRPr="005A57E6">
              <w:rPr>
                <w:rFonts w:ascii="Open Sans Light" w:eastAsia="Times New Roman" w:hAnsi="Open Sans Light" w:cs="Open Sans Light"/>
                <w:color w:val="3F3F42"/>
                <w:sz w:val="22"/>
                <w:szCs w:val="22"/>
                <w:lang w:val="en-GB" w:eastAsia="en-GB"/>
              </w:rPr>
              <w:t>Unemployment expected to peak at 5.2% next year, lower than 11.9% previously predicted</w:t>
            </w:r>
          </w:p>
          <w:p w14:paraId="51051591" w14:textId="77777777" w:rsidR="005A57E6" w:rsidRPr="005A57E6" w:rsidRDefault="005A57E6" w:rsidP="00A128F8">
            <w:pPr>
              <w:numPr>
                <w:ilvl w:val="0"/>
                <w:numId w:val="13"/>
              </w:numPr>
              <w:shd w:val="clear" w:color="auto" w:fill="FFFFFF"/>
              <w:spacing w:before="100" w:beforeAutospacing="1" w:after="100" w:afterAutospacing="1"/>
              <w:textAlignment w:val="baseline"/>
              <w:rPr>
                <w:rFonts w:ascii="Open Sans Light" w:eastAsia="Times New Roman" w:hAnsi="Open Sans Light" w:cs="Open Sans Light"/>
                <w:color w:val="3F3F42"/>
                <w:sz w:val="22"/>
                <w:szCs w:val="22"/>
                <w:lang w:val="en-GB" w:eastAsia="en-GB"/>
              </w:rPr>
            </w:pPr>
            <w:r w:rsidRPr="005A57E6">
              <w:rPr>
                <w:rFonts w:ascii="Open Sans Light" w:eastAsia="Times New Roman" w:hAnsi="Open Sans Light" w:cs="Open Sans Light"/>
                <w:color w:val="3F3F42"/>
                <w:sz w:val="22"/>
                <w:szCs w:val="22"/>
                <w:lang w:val="en-GB" w:eastAsia="en-GB"/>
              </w:rPr>
              <w:t>Wages have grown in real terms by 3.4% since February 2020</w:t>
            </w:r>
          </w:p>
          <w:p w14:paraId="4B1933CB" w14:textId="77777777" w:rsidR="005A57E6" w:rsidRPr="005A57E6" w:rsidRDefault="005A57E6" w:rsidP="00A128F8">
            <w:pPr>
              <w:numPr>
                <w:ilvl w:val="0"/>
                <w:numId w:val="13"/>
              </w:numPr>
              <w:shd w:val="clear" w:color="auto" w:fill="FFFFFF"/>
              <w:spacing w:before="100" w:beforeAutospacing="1" w:after="100" w:afterAutospacing="1"/>
              <w:textAlignment w:val="baseline"/>
              <w:rPr>
                <w:rFonts w:ascii="Open Sans Light" w:eastAsia="Times New Roman" w:hAnsi="Open Sans Light" w:cs="Open Sans Light"/>
                <w:color w:val="3F3F42"/>
                <w:sz w:val="22"/>
                <w:szCs w:val="22"/>
                <w:lang w:val="en-GB" w:eastAsia="en-GB"/>
              </w:rPr>
            </w:pPr>
            <w:r w:rsidRPr="005A57E6">
              <w:rPr>
                <w:rFonts w:ascii="Open Sans Light" w:eastAsia="Times New Roman" w:hAnsi="Open Sans Light" w:cs="Open Sans Light"/>
                <w:color w:val="3F3F42"/>
                <w:sz w:val="22"/>
                <w:szCs w:val="22"/>
                <w:lang w:val="en-GB" w:eastAsia="en-GB"/>
              </w:rPr>
              <w:t>Borrowing as a percentage of GDP is forecast to fall from 7.9% this year to 3.3% next year</w:t>
            </w:r>
          </w:p>
          <w:p w14:paraId="20E4BD9A" w14:textId="77777777" w:rsidR="005A57E6" w:rsidRPr="005A57E6" w:rsidRDefault="005A57E6" w:rsidP="00A128F8">
            <w:pPr>
              <w:numPr>
                <w:ilvl w:val="0"/>
                <w:numId w:val="13"/>
              </w:numPr>
              <w:shd w:val="clear" w:color="auto" w:fill="FFFFFF"/>
              <w:spacing w:before="100" w:beforeAutospacing="1" w:after="100" w:afterAutospacing="1"/>
              <w:textAlignment w:val="baseline"/>
              <w:rPr>
                <w:rFonts w:ascii="Open Sans Light" w:eastAsia="Times New Roman" w:hAnsi="Open Sans Light" w:cs="Open Sans Light"/>
                <w:color w:val="3F3F42"/>
                <w:sz w:val="22"/>
                <w:szCs w:val="22"/>
                <w:lang w:val="en-GB" w:eastAsia="en-GB"/>
              </w:rPr>
            </w:pPr>
            <w:r w:rsidRPr="005A57E6">
              <w:rPr>
                <w:rFonts w:ascii="Open Sans Light" w:eastAsia="Times New Roman" w:hAnsi="Open Sans Light" w:cs="Open Sans Light"/>
                <w:color w:val="3F3F42"/>
                <w:sz w:val="22"/>
                <w:szCs w:val="22"/>
                <w:lang w:val="en-GB" w:eastAsia="en-GB"/>
              </w:rPr>
              <w:t>Borrowing as a percentage of GDP will then fall in the following four years to 1.5%</w:t>
            </w:r>
          </w:p>
          <w:p w14:paraId="024A8209" w14:textId="305BE41A" w:rsidR="005A57E6" w:rsidRDefault="005A57E6" w:rsidP="00A128F8">
            <w:pPr>
              <w:numPr>
                <w:ilvl w:val="0"/>
                <w:numId w:val="13"/>
              </w:numPr>
              <w:shd w:val="clear" w:color="auto" w:fill="FFFFFF"/>
              <w:spacing w:before="100" w:beforeAutospacing="1" w:after="100" w:afterAutospacing="1"/>
              <w:textAlignment w:val="baseline"/>
              <w:rPr>
                <w:rFonts w:ascii="Open Sans Light" w:eastAsia="Times New Roman" w:hAnsi="Open Sans Light" w:cs="Open Sans Light"/>
                <w:color w:val="3F3F42"/>
                <w:sz w:val="22"/>
                <w:szCs w:val="22"/>
                <w:lang w:val="en-GB" w:eastAsia="en-GB"/>
              </w:rPr>
            </w:pPr>
            <w:r w:rsidRPr="005A57E6">
              <w:rPr>
                <w:rFonts w:ascii="Open Sans Light" w:eastAsia="Times New Roman" w:hAnsi="Open Sans Light" w:cs="Open Sans Light"/>
                <w:color w:val="3F3F42"/>
                <w:sz w:val="22"/>
                <w:szCs w:val="22"/>
                <w:lang w:val="en-GB" w:eastAsia="en-GB"/>
              </w:rPr>
              <w:t>Foreign aid spending projected to return to 0.7% of GDP by 2024-25</w:t>
            </w:r>
          </w:p>
          <w:p w14:paraId="504A84F9" w14:textId="1D248B7A" w:rsidR="002A34F9" w:rsidRDefault="002A34F9" w:rsidP="002A34F9">
            <w:pPr>
              <w:shd w:val="clear" w:color="auto" w:fill="FFFFFF"/>
              <w:spacing w:before="100" w:beforeAutospacing="1" w:after="100" w:afterAutospacing="1"/>
              <w:jc w:val="both"/>
              <w:textAlignment w:val="baseline"/>
              <w:rPr>
                <w:rFonts w:ascii="Open Sans Light" w:eastAsia="Times New Roman" w:hAnsi="Open Sans Light" w:cs="Open Sans Light"/>
                <w:color w:val="3F3F42"/>
                <w:sz w:val="22"/>
                <w:szCs w:val="22"/>
                <w:lang w:val="en-GB" w:eastAsia="en-GB"/>
              </w:rPr>
            </w:pPr>
            <w:r w:rsidRPr="00F5789B">
              <w:rPr>
                <w:rFonts w:ascii="Open Sans Light" w:eastAsia="Times New Roman" w:hAnsi="Open Sans Light" w:cs="Open Sans Light"/>
                <w:color w:val="FF0000"/>
                <w:sz w:val="22"/>
                <w:szCs w:val="22"/>
                <w:lang w:val="en-GB" w:eastAsia="en-GB"/>
              </w:rPr>
              <w:t>COMMENT</w:t>
            </w:r>
            <w:r>
              <w:rPr>
                <w:rFonts w:ascii="Open Sans Light" w:eastAsia="Times New Roman" w:hAnsi="Open Sans Light" w:cs="Open Sans Light"/>
                <w:color w:val="3F3F42"/>
                <w:sz w:val="22"/>
                <w:szCs w:val="22"/>
                <w:lang w:val="en-GB" w:eastAsia="en-GB"/>
              </w:rPr>
              <w:t>: The Chancellor now accepts that the inflationary spike seen over 2021 will continue over 2022 hence the pressure will be on the MPC of the Bank of England to respond to persistent inflation. The rate of wage increase is likely to embed inflationary expectations.</w:t>
            </w:r>
          </w:p>
          <w:p w14:paraId="49EA5829" w14:textId="5AA5DAF4" w:rsidR="00F5789B" w:rsidRDefault="002A34F9" w:rsidP="00F5789B">
            <w:pPr>
              <w:shd w:val="clear" w:color="auto" w:fill="FFFFFF"/>
              <w:spacing w:before="100" w:beforeAutospacing="1" w:after="100" w:afterAutospacing="1"/>
              <w:jc w:val="both"/>
              <w:textAlignment w:val="baseline"/>
              <w:rPr>
                <w:rFonts w:ascii="Open Sans Light" w:eastAsia="Times New Roman" w:hAnsi="Open Sans Light" w:cs="Open Sans Light"/>
                <w:color w:val="3F3F42"/>
                <w:sz w:val="22"/>
                <w:szCs w:val="22"/>
                <w:lang w:val="en-GB" w:eastAsia="en-GB"/>
              </w:rPr>
            </w:pPr>
            <w:r>
              <w:rPr>
                <w:rFonts w:ascii="Open Sans Light" w:eastAsia="Times New Roman" w:hAnsi="Open Sans Light" w:cs="Open Sans Light"/>
                <w:color w:val="3F3F42"/>
                <w:sz w:val="22"/>
                <w:szCs w:val="22"/>
                <w:lang w:val="en-GB" w:eastAsia="en-GB"/>
              </w:rPr>
              <w:t>On the UK’s fiscal management, the drop in public sector borrowing to just 3.3% in 2022 and 1.5% in 202</w:t>
            </w:r>
            <w:r w:rsidR="00F5789B">
              <w:rPr>
                <w:rFonts w:ascii="Open Sans Light" w:eastAsia="Times New Roman" w:hAnsi="Open Sans Light" w:cs="Open Sans Light"/>
                <w:color w:val="3F3F42"/>
                <w:sz w:val="22"/>
                <w:szCs w:val="22"/>
                <w:lang w:val="en-GB" w:eastAsia="en-GB"/>
              </w:rPr>
              <w:t>3</w:t>
            </w:r>
            <w:r>
              <w:rPr>
                <w:rFonts w:ascii="Open Sans Light" w:eastAsia="Times New Roman" w:hAnsi="Open Sans Light" w:cs="Open Sans Light"/>
                <w:color w:val="3F3F42"/>
                <w:sz w:val="22"/>
                <w:szCs w:val="22"/>
                <w:lang w:val="en-GB" w:eastAsia="en-GB"/>
              </w:rPr>
              <w:t xml:space="preserve"> looks optimistic.</w:t>
            </w:r>
            <w:r w:rsidR="00F5789B">
              <w:rPr>
                <w:rFonts w:ascii="Open Sans Light" w:eastAsia="Times New Roman" w:hAnsi="Open Sans Light" w:cs="Open Sans Light"/>
                <w:color w:val="3F3F42"/>
                <w:sz w:val="22"/>
                <w:szCs w:val="22"/>
                <w:lang w:val="en-GB" w:eastAsia="en-GB"/>
              </w:rPr>
              <w:t xml:space="preserve"> I cannot recall a deficit reduction on that scale in a similar timeframe.</w:t>
            </w:r>
          </w:p>
          <w:p w14:paraId="246F492E" w14:textId="5A8F6389" w:rsidR="00F5789B" w:rsidRDefault="005A57E6" w:rsidP="00F5789B">
            <w:pPr>
              <w:shd w:val="clear" w:color="auto" w:fill="FFFFFF"/>
              <w:spacing w:before="100" w:beforeAutospacing="1" w:after="100" w:afterAutospacing="1"/>
              <w:jc w:val="both"/>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br/>
            </w:r>
            <w:r w:rsidR="00F5789B">
              <w:rPr>
                <w:rFonts w:ascii="Open Sans Light" w:hAnsi="Open Sans Light" w:cs="Open Sans Light"/>
                <w:color w:val="3F3F42"/>
                <w:sz w:val="22"/>
                <w:szCs w:val="22"/>
              </w:rPr>
              <w:t>2) Taxation &amp; Wages</w:t>
            </w:r>
          </w:p>
          <w:p w14:paraId="5592CA54" w14:textId="77777777" w:rsidR="00F5789B" w:rsidRDefault="00F5789B" w:rsidP="00F5789B">
            <w:pPr>
              <w:shd w:val="clear" w:color="auto" w:fill="FFFFFF"/>
              <w:textAlignment w:val="baseline"/>
              <w:rPr>
                <w:rFonts w:ascii="Open Sans Light" w:hAnsi="Open Sans Light" w:cs="Open Sans Light"/>
                <w:color w:val="3F3F42"/>
                <w:sz w:val="22"/>
                <w:szCs w:val="22"/>
              </w:rPr>
            </w:pPr>
          </w:p>
          <w:p w14:paraId="4A7D1897" w14:textId="2C07059E" w:rsidR="005A57E6" w:rsidRPr="002A34F9" w:rsidRDefault="005A57E6" w:rsidP="00F5789B">
            <w:pPr>
              <w:shd w:val="clear" w:color="auto" w:fill="FFFFFF"/>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 xml:space="preserve">Whitehall departments to receive rise in overall spending, </w:t>
            </w:r>
            <w:proofErr w:type="spellStart"/>
            <w:r w:rsidRPr="002A34F9">
              <w:rPr>
                <w:rFonts w:ascii="Open Sans Light" w:hAnsi="Open Sans Light" w:cs="Open Sans Light"/>
                <w:color w:val="3F3F42"/>
                <w:sz w:val="22"/>
                <w:szCs w:val="22"/>
              </w:rPr>
              <w:t>totalling</w:t>
            </w:r>
            <w:proofErr w:type="spellEnd"/>
            <w:r w:rsidRPr="002A34F9">
              <w:rPr>
                <w:rFonts w:ascii="Open Sans Light" w:hAnsi="Open Sans Light" w:cs="Open Sans Light"/>
                <w:color w:val="3F3F42"/>
                <w:sz w:val="22"/>
                <w:szCs w:val="22"/>
              </w:rPr>
              <w:t xml:space="preserve"> £150bn over the course of this Parliament</w:t>
            </w:r>
          </w:p>
          <w:p w14:paraId="3C2526C8"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Universal Credit taper rate will be cut by 8% no later than 1 December, bringing it down from 63% to 55%</w:t>
            </w:r>
          </w:p>
          <w:p w14:paraId="784D9CE5"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Business rates retained and reformed</w:t>
            </w:r>
          </w:p>
          <w:p w14:paraId="54890004"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lastRenderedPageBreak/>
              <w:t>New 50% business rates discount will apply in the retail, hospitality, and leisure sectors, up to a maximum of £110,000</w:t>
            </w:r>
          </w:p>
          <w:p w14:paraId="26D278FD"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Planned rise in fuel duty to be cancelled amid the highest pump prices in eight years</w:t>
            </w:r>
          </w:p>
          <w:p w14:paraId="73784C16"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£24bn earmarked for housing: £11.5bn for up to 180,000 affordable homes, with brownfield sites targeted for development</w:t>
            </w:r>
          </w:p>
          <w:p w14:paraId="690BE173"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F5789B">
              <w:rPr>
                <w:rFonts w:ascii="Open Sans Light" w:hAnsi="Open Sans Light" w:cs="Open Sans Light"/>
                <w:color w:val="FF0000"/>
                <w:sz w:val="22"/>
                <w:szCs w:val="22"/>
              </w:rPr>
              <w:t>A 4% levy will be placed on property developers with profits over £25m rate to help create a £5bn fund to remove unsafe cladding</w:t>
            </w:r>
          </w:p>
          <w:p w14:paraId="07D4E38E"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 xml:space="preserve">Funding will rise by an average of £4.6bn for the </w:t>
            </w:r>
            <w:proofErr w:type="spellStart"/>
            <w:r w:rsidRPr="002A34F9">
              <w:rPr>
                <w:rFonts w:ascii="Open Sans Light" w:hAnsi="Open Sans Light" w:cs="Open Sans Light"/>
                <w:color w:val="3F3F42"/>
                <w:sz w:val="22"/>
                <w:szCs w:val="22"/>
              </w:rPr>
              <w:t>the</w:t>
            </w:r>
            <w:proofErr w:type="spellEnd"/>
            <w:r w:rsidRPr="002A34F9">
              <w:rPr>
                <w:rFonts w:ascii="Open Sans Light" w:hAnsi="Open Sans Light" w:cs="Open Sans Light"/>
                <w:color w:val="3F3F42"/>
                <w:sz w:val="22"/>
                <w:szCs w:val="22"/>
              </w:rPr>
              <w:t xml:space="preserve"> Scottish Government, £2.5bn for the Welsh Government, and £1.6bn for the Northern Ireland Executive</w:t>
            </w:r>
          </w:p>
          <w:p w14:paraId="0D2A6BD9"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Levelling Up Fund will mean £1.7bn will be invested in local areas across the UK</w:t>
            </w:r>
          </w:p>
          <w:p w14:paraId="2F780C38"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 xml:space="preserve">Government backing projects in Aberdeen, Bury, Burnley, Lewes, </w:t>
            </w:r>
            <w:proofErr w:type="spellStart"/>
            <w:r w:rsidRPr="002A34F9">
              <w:rPr>
                <w:rFonts w:ascii="Open Sans Light" w:hAnsi="Open Sans Light" w:cs="Open Sans Light"/>
                <w:color w:val="3F3F42"/>
                <w:sz w:val="22"/>
                <w:szCs w:val="22"/>
              </w:rPr>
              <w:t>Clwyd</w:t>
            </w:r>
            <w:proofErr w:type="spellEnd"/>
            <w:r w:rsidRPr="002A34F9">
              <w:rPr>
                <w:rFonts w:ascii="Open Sans Light" w:hAnsi="Open Sans Light" w:cs="Open Sans Light"/>
                <w:color w:val="3F3F42"/>
                <w:sz w:val="22"/>
                <w:szCs w:val="22"/>
              </w:rPr>
              <w:t xml:space="preserve"> South, Stoke-on-Trent, Ashton under </w:t>
            </w:r>
            <w:proofErr w:type="spellStart"/>
            <w:r w:rsidRPr="002A34F9">
              <w:rPr>
                <w:rFonts w:ascii="Open Sans Light" w:hAnsi="Open Sans Light" w:cs="Open Sans Light"/>
                <w:color w:val="3F3F42"/>
                <w:sz w:val="22"/>
                <w:szCs w:val="22"/>
              </w:rPr>
              <w:t>Lyne</w:t>
            </w:r>
            <w:proofErr w:type="spellEnd"/>
            <w:r w:rsidRPr="002A34F9">
              <w:rPr>
                <w:rFonts w:ascii="Open Sans Light" w:hAnsi="Open Sans Light" w:cs="Open Sans Light"/>
                <w:color w:val="3F3F42"/>
                <w:sz w:val="22"/>
                <w:szCs w:val="22"/>
              </w:rPr>
              <w:t xml:space="preserve">, Doncaster, South Leicester, </w:t>
            </w:r>
            <w:proofErr w:type="gramStart"/>
            <w:r w:rsidRPr="002A34F9">
              <w:rPr>
                <w:rFonts w:ascii="Open Sans Light" w:hAnsi="Open Sans Light" w:cs="Open Sans Light"/>
                <w:color w:val="3F3F42"/>
                <w:sz w:val="22"/>
                <w:szCs w:val="22"/>
              </w:rPr>
              <w:t>Sunderland</w:t>
            </w:r>
            <w:proofErr w:type="gramEnd"/>
            <w:r w:rsidRPr="002A34F9">
              <w:rPr>
                <w:rFonts w:ascii="Open Sans Light" w:hAnsi="Open Sans Light" w:cs="Open Sans Light"/>
                <w:color w:val="3F3F42"/>
                <w:sz w:val="22"/>
                <w:szCs w:val="22"/>
              </w:rPr>
              <w:t xml:space="preserve"> and West Leeds</w:t>
            </w:r>
          </w:p>
          <w:p w14:paraId="2B799683"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 xml:space="preserve">Extra £2.2bn for courts, </w:t>
            </w:r>
            <w:proofErr w:type="gramStart"/>
            <w:r w:rsidRPr="002A34F9">
              <w:rPr>
                <w:rFonts w:ascii="Open Sans Light" w:hAnsi="Open Sans Light" w:cs="Open Sans Light"/>
                <w:color w:val="3F3F42"/>
                <w:sz w:val="22"/>
                <w:szCs w:val="22"/>
              </w:rPr>
              <w:t>prisons</w:t>
            </w:r>
            <w:proofErr w:type="gramEnd"/>
            <w:r w:rsidRPr="002A34F9">
              <w:rPr>
                <w:rFonts w:ascii="Open Sans Light" w:hAnsi="Open Sans Light" w:cs="Open Sans Light"/>
                <w:color w:val="3F3F42"/>
                <w:sz w:val="22"/>
                <w:szCs w:val="22"/>
              </w:rPr>
              <w:t xml:space="preserve"> and probation services</w:t>
            </w:r>
          </w:p>
          <w:p w14:paraId="728FF515"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Tax relief for museums and galleries will be extended for two years, to March 2024</w:t>
            </w:r>
          </w:p>
          <w:p w14:paraId="57239C95" w14:textId="6DF9F539" w:rsidR="005A57E6"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Core science funding to rise to £5.9bn a year by 2024-25</w:t>
            </w:r>
          </w:p>
          <w:p w14:paraId="5A32CFB6" w14:textId="77777777" w:rsidR="00A128F8" w:rsidRPr="00A128F8" w:rsidRDefault="00A128F8" w:rsidP="00A128F8">
            <w:pPr>
              <w:numPr>
                <w:ilvl w:val="0"/>
                <w:numId w:val="13"/>
              </w:numPr>
              <w:shd w:val="clear" w:color="auto" w:fill="FFFFFF"/>
              <w:spacing w:before="100" w:beforeAutospacing="1" w:after="100" w:afterAutospacing="1"/>
              <w:textAlignment w:val="baseline"/>
              <w:rPr>
                <w:rFonts w:ascii="Open Sans Light" w:eastAsia="Times New Roman" w:hAnsi="Open Sans Light" w:cs="Open Sans Light"/>
                <w:color w:val="3F3F42"/>
                <w:sz w:val="22"/>
                <w:szCs w:val="22"/>
                <w:lang w:val="en-GB" w:eastAsia="en-GB"/>
              </w:rPr>
            </w:pPr>
            <w:r w:rsidRPr="00A128F8">
              <w:rPr>
                <w:rFonts w:ascii="Open Sans Light" w:eastAsia="Times New Roman" w:hAnsi="Open Sans Light" w:cs="Open Sans Light"/>
                <w:color w:val="3F3F42"/>
                <w:sz w:val="22"/>
                <w:szCs w:val="22"/>
                <w:lang w:val="en-GB" w:eastAsia="en-GB"/>
              </w:rPr>
              <w:t>Consultation on an online sales tax</w:t>
            </w:r>
          </w:p>
          <w:p w14:paraId="29418CCF" w14:textId="16123BC9" w:rsidR="00A128F8" w:rsidRPr="00A128F8" w:rsidRDefault="00A128F8" w:rsidP="00A128F8">
            <w:pPr>
              <w:numPr>
                <w:ilvl w:val="0"/>
                <w:numId w:val="13"/>
              </w:numPr>
              <w:shd w:val="clear" w:color="auto" w:fill="FFFFFF"/>
              <w:spacing w:before="100" w:beforeAutospacing="1" w:after="100" w:afterAutospacing="1"/>
              <w:textAlignment w:val="baseline"/>
              <w:rPr>
                <w:rFonts w:ascii="Open Sans Light" w:eastAsia="Times New Roman" w:hAnsi="Open Sans Light" w:cs="Open Sans Light"/>
                <w:color w:val="FF0000"/>
                <w:sz w:val="22"/>
                <w:szCs w:val="22"/>
                <w:lang w:val="en-GB" w:eastAsia="en-GB"/>
              </w:rPr>
            </w:pPr>
            <w:r w:rsidRPr="00A128F8">
              <w:rPr>
                <w:rFonts w:ascii="Open Sans Light" w:eastAsia="Times New Roman" w:hAnsi="Open Sans Light" w:cs="Open Sans Light"/>
                <w:color w:val="FF0000"/>
                <w:sz w:val="22"/>
                <w:szCs w:val="22"/>
                <w:lang w:val="en-GB" w:eastAsia="en-GB"/>
              </w:rPr>
              <w:t>National Living Wage to increase next year by 6.6%, to £9.50 an hour</w:t>
            </w:r>
          </w:p>
          <w:p w14:paraId="3A69F8EB" w14:textId="06D67186" w:rsidR="00F5789B" w:rsidRPr="002A34F9" w:rsidRDefault="00F5789B" w:rsidP="00F5789B">
            <w:pPr>
              <w:shd w:val="clear" w:color="auto" w:fill="FFFFFF"/>
              <w:spacing w:before="100" w:beforeAutospacing="1" w:after="100" w:afterAutospacing="1"/>
              <w:jc w:val="both"/>
              <w:textAlignment w:val="baseline"/>
              <w:rPr>
                <w:rFonts w:ascii="Open Sans Light" w:hAnsi="Open Sans Light" w:cs="Open Sans Light"/>
                <w:color w:val="3F3F42"/>
                <w:sz w:val="22"/>
                <w:szCs w:val="22"/>
              </w:rPr>
            </w:pPr>
            <w:proofErr w:type="gramStart"/>
            <w:r w:rsidRPr="00726656">
              <w:rPr>
                <w:rFonts w:ascii="Open Sans Light" w:hAnsi="Open Sans Light" w:cs="Open Sans Light"/>
                <w:b/>
                <w:bCs/>
                <w:color w:val="FF0000"/>
                <w:sz w:val="22"/>
                <w:szCs w:val="22"/>
              </w:rPr>
              <w:t>COMMENT</w:t>
            </w:r>
            <w:r>
              <w:rPr>
                <w:rFonts w:ascii="Open Sans Light" w:hAnsi="Open Sans Light" w:cs="Open Sans Light"/>
                <w:color w:val="3F3F42"/>
                <w:sz w:val="22"/>
                <w:szCs w:val="22"/>
              </w:rPr>
              <w:t>;</w:t>
            </w:r>
            <w:proofErr w:type="gramEnd"/>
            <w:r>
              <w:rPr>
                <w:rFonts w:ascii="Open Sans Light" w:hAnsi="Open Sans Light" w:cs="Open Sans Light"/>
                <w:color w:val="3F3F42"/>
                <w:sz w:val="22"/>
                <w:szCs w:val="22"/>
              </w:rPr>
              <w:t xml:space="preserve"> Shares in housebuilders are mostly higher in response to the move to levy a 4% tax on profits over £25m to create a £5bn fund for removing unsafe cladding. This is a major step towards tackling an issue that has dogged the sector since Grenfell Towers. The builders are also encouraged by the plans for 180k new homes on former industrial land. Other measures are </w:t>
            </w:r>
            <w:proofErr w:type="spellStart"/>
            <w:r>
              <w:rPr>
                <w:rFonts w:ascii="Open Sans Light" w:hAnsi="Open Sans Light" w:cs="Open Sans Light"/>
                <w:color w:val="3F3F42"/>
                <w:sz w:val="22"/>
                <w:szCs w:val="22"/>
              </w:rPr>
              <w:t>inkeeping</w:t>
            </w:r>
            <w:proofErr w:type="spellEnd"/>
            <w:r>
              <w:rPr>
                <w:rFonts w:ascii="Open Sans Light" w:hAnsi="Open Sans Light" w:cs="Open Sans Light"/>
                <w:color w:val="3F3F42"/>
                <w:sz w:val="22"/>
                <w:szCs w:val="22"/>
              </w:rPr>
              <w:t xml:space="preserve"> with the UK government’s levelling up agenda in particular the rise in funding of the devolved governments. </w:t>
            </w:r>
          </w:p>
          <w:p w14:paraId="0C3ADEFE" w14:textId="77777777" w:rsidR="005A57E6" w:rsidRPr="002A34F9" w:rsidRDefault="005A57E6" w:rsidP="005A57E6">
            <w:pPr>
              <w:pStyle w:val="Heading2"/>
              <w:shd w:val="clear" w:color="auto" w:fill="FFFFFF"/>
              <w:spacing w:before="0"/>
              <w:textAlignment w:val="baseline"/>
              <w:rPr>
                <w:rFonts w:ascii="Open Sans Light" w:hAnsi="Open Sans Light" w:cs="Open Sans Light"/>
                <w:color w:val="3F3F42"/>
                <w:sz w:val="22"/>
                <w:szCs w:val="22"/>
              </w:rPr>
            </w:pPr>
            <w:r w:rsidRPr="002A34F9">
              <w:rPr>
                <w:rFonts w:ascii="Open Sans Light" w:hAnsi="Open Sans Light" w:cs="Open Sans Light"/>
                <w:b/>
                <w:bCs/>
                <w:color w:val="3F3F42"/>
                <w:sz w:val="22"/>
                <w:szCs w:val="22"/>
              </w:rPr>
              <w:t>Children and education</w:t>
            </w:r>
          </w:p>
          <w:p w14:paraId="376B7F45" w14:textId="77777777" w:rsidR="005A57E6" w:rsidRPr="002A34F9" w:rsidRDefault="005A57E6" w:rsidP="00A128F8">
            <w:pPr>
              <w:numPr>
                <w:ilvl w:val="0"/>
                <w:numId w:val="13"/>
              </w:numPr>
              <w:shd w:val="clear" w:color="auto" w:fill="FFFFFF"/>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Schools to get an extra £4.7bn by 2024-25</w:t>
            </w:r>
          </w:p>
          <w:p w14:paraId="31FE3B08"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There will be nearly £2bn of new funding to help schools and colleges to recover from the pandemic</w:t>
            </w:r>
          </w:p>
          <w:p w14:paraId="012B67E5"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Schools funding to return to 2010 levels in real terms - an equivalent per pupil cash increase of more than £1,500</w:t>
            </w:r>
          </w:p>
          <w:p w14:paraId="793D6254" w14:textId="6BCDDD52" w:rsidR="005A57E6"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 xml:space="preserve">£300m will be spent on a "Start for Life" parenting </w:t>
            </w:r>
            <w:proofErr w:type="spellStart"/>
            <w:r w:rsidRPr="002A34F9">
              <w:rPr>
                <w:rFonts w:ascii="Open Sans Light" w:hAnsi="Open Sans Light" w:cs="Open Sans Light"/>
                <w:color w:val="3F3F42"/>
                <w:sz w:val="22"/>
                <w:szCs w:val="22"/>
              </w:rPr>
              <w:t>programmes</w:t>
            </w:r>
            <w:proofErr w:type="spellEnd"/>
            <w:r w:rsidRPr="002A34F9">
              <w:rPr>
                <w:rFonts w:ascii="Open Sans Light" w:hAnsi="Open Sans Light" w:cs="Open Sans Light"/>
                <w:color w:val="3F3F42"/>
                <w:sz w:val="22"/>
                <w:szCs w:val="22"/>
              </w:rPr>
              <w:t>, with an additional £170m by 2024-25 promised for childcare</w:t>
            </w:r>
          </w:p>
          <w:p w14:paraId="53B0831B" w14:textId="47E02F2B" w:rsidR="00F5789B" w:rsidRPr="002A34F9" w:rsidRDefault="00F5789B" w:rsidP="00F5789B">
            <w:pPr>
              <w:shd w:val="clear" w:color="auto" w:fill="FFFFFF"/>
              <w:spacing w:before="100" w:beforeAutospacing="1" w:after="100" w:afterAutospacing="1"/>
              <w:textAlignment w:val="baseline"/>
              <w:rPr>
                <w:rFonts w:ascii="Open Sans Light" w:hAnsi="Open Sans Light" w:cs="Open Sans Light"/>
                <w:color w:val="3F3F42"/>
                <w:sz w:val="22"/>
                <w:szCs w:val="22"/>
              </w:rPr>
            </w:pPr>
            <w:proofErr w:type="gramStart"/>
            <w:r w:rsidRPr="00726656">
              <w:rPr>
                <w:rFonts w:ascii="Open Sans Light" w:hAnsi="Open Sans Light" w:cs="Open Sans Light"/>
                <w:b/>
                <w:bCs/>
                <w:color w:val="FF0000"/>
                <w:sz w:val="22"/>
                <w:szCs w:val="22"/>
              </w:rPr>
              <w:t>COMMENT</w:t>
            </w:r>
            <w:r>
              <w:rPr>
                <w:rFonts w:ascii="Open Sans Light" w:hAnsi="Open Sans Light" w:cs="Open Sans Light"/>
                <w:color w:val="3F3F42"/>
                <w:sz w:val="22"/>
                <w:szCs w:val="22"/>
              </w:rPr>
              <w:t>;</w:t>
            </w:r>
            <w:proofErr w:type="gramEnd"/>
            <w:r>
              <w:rPr>
                <w:rFonts w:ascii="Open Sans Light" w:hAnsi="Open Sans Light" w:cs="Open Sans Light"/>
                <w:color w:val="3F3F42"/>
                <w:sz w:val="22"/>
                <w:szCs w:val="22"/>
              </w:rPr>
              <w:t xml:space="preserve"> Education was hit hard by C-19</w:t>
            </w:r>
            <w:r w:rsidR="00A128F8">
              <w:rPr>
                <w:rFonts w:ascii="Open Sans Light" w:hAnsi="Open Sans Light" w:cs="Open Sans Light"/>
                <w:color w:val="3F3F42"/>
                <w:sz w:val="22"/>
                <w:szCs w:val="22"/>
              </w:rPr>
              <w:t xml:space="preserve"> and will now get help in the form of extra funding over 2022-2025.</w:t>
            </w:r>
          </w:p>
          <w:p w14:paraId="60D039C8" w14:textId="77777777" w:rsidR="005A57E6" w:rsidRPr="002A34F9" w:rsidRDefault="005A57E6" w:rsidP="005A57E6">
            <w:pPr>
              <w:pStyle w:val="Heading2"/>
              <w:shd w:val="clear" w:color="auto" w:fill="FFFFFF"/>
              <w:spacing w:before="0"/>
              <w:textAlignment w:val="baseline"/>
              <w:rPr>
                <w:rFonts w:ascii="Open Sans Light" w:hAnsi="Open Sans Light" w:cs="Open Sans Light"/>
                <w:color w:val="3F3F42"/>
                <w:sz w:val="22"/>
                <w:szCs w:val="22"/>
              </w:rPr>
            </w:pPr>
            <w:r w:rsidRPr="002A34F9">
              <w:rPr>
                <w:rFonts w:ascii="Open Sans Light" w:hAnsi="Open Sans Light" w:cs="Open Sans Light"/>
                <w:b/>
                <w:bCs/>
                <w:color w:val="3F3F42"/>
                <w:sz w:val="22"/>
                <w:szCs w:val="22"/>
              </w:rPr>
              <w:t>Air travel</w:t>
            </w:r>
          </w:p>
          <w:p w14:paraId="1DBBB326" w14:textId="77777777" w:rsidR="005A57E6" w:rsidRPr="002A34F9" w:rsidRDefault="005A57E6" w:rsidP="00A128F8">
            <w:pPr>
              <w:numPr>
                <w:ilvl w:val="0"/>
                <w:numId w:val="13"/>
              </w:numPr>
              <w:shd w:val="clear" w:color="auto" w:fill="FFFFFF"/>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Flights between airports in the UK nations will be subject to a new lower rate of Air Passenger Duty from April 2023</w:t>
            </w:r>
          </w:p>
          <w:p w14:paraId="44D4889A"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Financial support for English airports to be extended for a further six months</w:t>
            </w:r>
          </w:p>
          <w:p w14:paraId="288966F2" w14:textId="4E5CE4AC" w:rsidR="005A57E6"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lastRenderedPageBreak/>
              <w:t>A new ultra</w:t>
            </w:r>
            <w:r w:rsidRPr="002A34F9">
              <w:rPr>
                <w:rFonts w:ascii="Open Sans Light" w:hAnsi="Open Sans Light" w:cs="Open Sans Light"/>
                <w:color w:val="3F3F42"/>
                <w:sz w:val="22"/>
                <w:szCs w:val="22"/>
              </w:rPr>
              <w:t>-</w:t>
            </w:r>
            <w:proofErr w:type="gramStart"/>
            <w:r w:rsidRPr="002A34F9">
              <w:rPr>
                <w:rFonts w:ascii="Open Sans Light" w:hAnsi="Open Sans Light" w:cs="Open Sans Light"/>
                <w:color w:val="3F3F42"/>
                <w:sz w:val="22"/>
                <w:szCs w:val="22"/>
              </w:rPr>
              <w:t>long haul</w:t>
            </w:r>
            <w:proofErr w:type="gramEnd"/>
            <w:r w:rsidRPr="002A34F9">
              <w:rPr>
                <w:rFonts w:ascii="Open Sans Light" w:hAnsi="Open Sans Light" w:cs="Open Sans Light"/>
                <w:color w:val="3F3F42"/>
                <w:sz w:val="22"/>
                <w:szCs w:val="22"/>
              </w:rPr>
              <w:t xml:space="preserve"> band in Air Passenger Duty for flights of over 5,500 miles will be introduced from April 2023</w:t>
            </w:r>
          </w:p>
          <w:p w14:paraId="5CBD7512" w14:textId="37574C4D" w:rsidR="00A128F8" w:rsidRPr="00A128F8" w:rsidRDefault="00A128F8" w:rsidP="00A128F8">
            <w:pPr>
              <w:shd w:val="clear" w:color="auto" w:fill="FFFFFF"/>
              <w:spacing w:before="100" w:beforeAutospacing="1" w:after="100" w:afterAutospacing="1"/>
              <w:ind w:left="360"/>
              <w:textAlignment w:val="baseline"/>
              <w:rPr>
                <w:rFonts w:ascii="Open Sans Light" w:hAnsi="Open Sans Light" w:cs="Open Sans Light"/>
                <w:color w:val="3F3F42"/>
                <w:sz w:val="22"/>
                <w:szCs w:val="22"/>
              </w:rPr>
            </w:pPr>
            <w:r w:rsidRPr="00726656">
              <w:rPr>
                <w:rFonts w:ascii="Open Sans Light" w:hAnsi="Open Sans Light" w:cs="Open Sans Light"/>
                <w:b/>
                <w:bCs/>
                <w:color w:val="FF0000"/>
                <w:sz w:val="22"/>
                <w:szCs w:val="22"/>
              </w:rPr>
              <w:t>COMMENT</w:t>
            </w:r>
            <w:r>
              <w:rPr>
                <w:rFonts w:ascii="Open Sans Light" w:hAnsi="Open Sans Light" w:cs="Open Sans Light"/>
                <w:b/>
                <w:bCs/>
                <w:color w:val="3F3F42"/>
                <w:sz w:val="22"/>
                <w:szCs w:val="22"/>
              </w:rPr>
              <w:t xml:space="preserve">: </w:t>
            </w:r>
            <w:r>
              <w:rPr>
                <w:rFonts w:ascii="Open Sans Light" w:hAnsi="Open Sans Light" w:cs="Open Sans Light"/>
                <w:color w:val="3F3F42"/>
                <w:sz w:val="22"/>
                <w:szCs w:val="22"/>
              </w:rPr>
              <w:t xml:space="preserve">The UK government is clearly trying to help its airports recover from C-19 and the death of international travel. The rise in departure tax on long haul flights should hit mainly Far Eastern visitors. </w:t>
            </w:r>
          </w:p>
          <w:p w14:paraId="3A3F1414" w14:textId="1092D09F" w:rsidR="005A57E6" w:rsidRPr="002A34F9" w:rsidRDefault="005A57E6" w:rsidP="005A57E6">
            <w:pPr>
              <w:shd w:val="clear" w:color="auto" w:fill="FFFFFF"/>
              <w:textAlignment w:val="baseline"/>
              <w:rPr>
                <w:rFonts w:ascii="Open Sans Light" w:hAnsi="Open Sans Light" w:cs="Open Sans Light"/>
                <w:color w:val="3F3F42"/>
                <w:sz w:val="22"/>
                <w:szCs w:val="22"/>
              </w:rPr>
            </w:pPr>
            <w:r w:rsidRPr="002A34F9">
              <w:rPr>
                <w:rFonts w:ascii="Open Sans Light" w:hAnsi="Open Sans Light" w:cs="Open Sans Light"/>
                <w:noProof/>
                <w:color w:val="3F3F42"/>
                <w:sz w:val="22"/>
                <w:szCs w:val="22"/>
                <w:bdr w:val="none" w:sz="0" w:space="0" w:color="auto" w:frame="1"/>
              </w:rPr>
              <w:drawing>
                <wp:inline distT="0" distB="0" distL="0" distR="0" wp14:anchorId="00FEFBFD" wp14:editId="21032443">
                  <wp:extent cx="4813935" cy="7620"/>
                  <wp:effectExtent l="0" t="0" r="0" b="0"/>
                  <wp:docPr id="4" name="Picture 4"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bre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3935" cy="7620"/>
                          </a:xfrm>
                          <a:prstGeom prst="rect">
                            <a:avLst/>
                          </a:prstGeom>
                          <a:noFill/>
                          <a:ln>
                            <a:noFill/>
                          </a:ln>
                        </pic:spPr>
                      </pic:pic>
                    </a:graphicData>
                  </a:graphic>
                </wp:inline>
              </w:drawing>
            </w:r>
          </w:p>
          <w:p w14:paraId="20F205A8" w14:textId="77777777" w:rsidR="005A57E6" w:rsidRPr="002A34F9" w:rsidRDefault="005A57E6" w:rsidP="005A57E6">
            <w:pPr>
              <w:pStyle w:val="Heading2"/>
              <w:shd w:val="clear" w:color="auto" w:fill="FFFFFF"/>
              <w:spacing w:before="0"/>
              <w:textAlignment w:val="baseline"/>
              <w:rPr>
                <w:rFonts w:ascii="Open Sans Light" w:hAnsi="Open Sans Light" w:cs="Open Sans Light"/>
                <w:color w:val="3F3F42"/>
                <w:sz w:val="22"/>
                <w:szCs w:val="22"/>
              </w:rPr>
            </w:pPr>
            <w:r w:rsidRPr="002A34F9">
              <w:rPr>
                <w:rFonts w:ascii="Open Sans Light" w:hAnsi="Open Sans Light" w:cs="Open Sans Light"/>
                <w:b/>
                <w:bCs/>
                <w:color w:val="3F3F42"/>
                <w:sz w:val="22"/>
                <w:szCs w:val="22"/>
              </w:rPr>
              <w:t>Alcohol</w:t>
            </w:r>
          </w:p>
          <w:p w14:paraId="5D77DE4B" w14:textId="77777777" w:rsidR="005A57E6" w:rsidRPr="002A34F9" w:rsidRDefault="005A57E6" w:rsidP="00A128F8">
            <w:pPr>
              <w:numPr>
                <w:ilvl w:val="0"/>
                <w:numId w:val="13"/>
              </w:numPr>
              <w:shd w:val="clear" w:color="auto" w:fill="FFFFFF"/>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 xml:space="preserve">Planned rise in the duty on spirits, wine, </w:t>
            </w:r>
            <w:proofErr w:type="gramStart"/>
            <w:r w:rsidRPr="002A34F9">
              <w:rPr>
                <w:rFonts w:ascii="Open Sans Light" w:hAnsi="Open Sans Light" w:cs="Open Sans Light"/>
                <w:color w:val="3F3F42"/>
                <w:sz w:val="22"/>
                <w:szCs w:val="22"/>
              </w:rPr>
              <w:t>cider</w:t>
            </w:r>
            <w:proofErr w:type="gramEnd"/>
            <w:r w:rsidRPr="002A34F9">
              <w:rPr>
                <w:rFonts w:ascii="Open Sans Light" w:hAnsi="Open Sans Light" w:cs="Open Sans Light"/>
                <w:color w:val="3F3F42"/>
                <w:sz w:val="22"/>
                <w:szCs w:val="22"/>
              </w:rPr>
              <w:t xml:space="preserve"> and beer will be cancelled</w:t>
            </w:r>
          </w:p>
          <w:p w14:paraId="5A97D5A9"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Simplification of alcohol duties will see the number of rates drop from 15 to six</w:t>
            </w:r>
          </w:p>
          <w:p w14:paraId="0DEC9C40"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Stronger red wines, fortified wines, and high-strength ciders will see a small increase in their rates</w:t>
            </w:r>
          </w:p>
          <w:p w14:paraId="4932ED49" w14:textId="77777777" w:rsidR="005A57E6" w:rsidRPr="002A34F9"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Rates on many lower alcohol drinks including rose wine, fruit ciders, liqueurs, lower strength beers and wines to fall</w:t>
            </w:r>
          </w:p>
          <w:p w14:paraId="3AB6F23E" w14:textId="77777777" w:rsidR="00A128F8"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2A34F9">
              <w:rPr>
                <w:rFonts w:ascii="Open Sans Light" w:hAnsi="Open Sans Light" w:cs="Open Sans Light"/>
                <w:color w:val="3F3F42"/>
                <w:sz w:val="22"/>
                <w:szCs w:val="22"/>
              </w:rPr>
              <w:t>All sparkling wines to pay same duty as still wines of equivalent strength</w:t>
            </w:r>
          </w:p>
          <w:p w14:paraId="07925AB3" w14:textId="177804A0" w:rsidR="00A128F8" w:rsidRDefault="005A57E6" w:rsidP="00A128F8">
            <w:pPr>
              <w:numPr>
                <w:ilvl w:val="0"/>
                <w:numId w:val="13"/>
              </w:numPr>
              <w:shd w:val="clear" w:color="auto" w:fill="FFFFFF"/>
              <w:spacing w:before="100" w:beforeAutospacing="1" w:after="100" w:afterAutospacing="1"/>
              <w:textAlignment w:val="baseline"/>
              <w:rPr>
                <w:rFonts w:ascii="Open Sans Light" w:hAnsi="Open Sans Light" w:cs="Open Sans Light"/>
                <w:color w:val="3F3F42"/>
                <w:sz w:val="22"/>
                <w:szCs w:val="22"/>
              </w:rPr>
            </w:pPr>
            <w:r w:rsidRPr="00A128F8">
              <w:rPr>
                <w:rFonts w:ascii="Open Sans Light" w:hAnsi="Open Sans Light" w:cs="Open Sans Light"/>
                <w:color w:val="3F3F42"/>
                <w:sz w:val="22"/>
                <w:szCs w:val="22"/>
              </w:rPr>
              <w:t>New, lower rate of duty on draught beer and cider will cut the rates by 5%</w:t>
            </w:r>
          </w:p>
          <w:p w14:paraId="7A786182" w14:textId="3DB5EE1B" w:rsidR="00A128F8" w:rsidRPr="00A128F8" w:rsidRDefault="00A128F8" w:rsidP="00A128F8">
            <w:pPr>
              <w:shd w:val="clear" w:color="auto" w:fill="FFFFFF"/>
              <w:spacing w:before="100" w:beforeAutospacing="1" w:after="100" w:afterAutospacing="1"/>
              <w:ind w:left="360"/>
              <w:textAlignment w:val="baseline"/>
              <w:rPr>
                <w:rFonts w:ascii="Open Sans Light" w:hAnsi="Open Sans Light" w:cs="Open Sans Light"/>
                <w:color w:val="3F3F42"/>
                <w:sz w:val="22"/>
                <w:szCs w:val="22"/>
              </w:rPr>
            </w:pPr>
            <w:r w:rsidRPr="00726656">
              <w:rPr>
                <w:rFonts w:ascii="Open Sans Light" w:hAnsi="Open Sans Light" w:cs="Open Sans Light"/>
                <w:b/>
                <w:bCs/>
                <w:color w:val="FF0000"/>
                <w:sz w:val="22"/>
                <w:szCs w:val="22"/>
              </w:rPr>
              <w:t>COMMENT</w:t>
            </w:r>
            <w:r>
              <w:rPr>
                <w:rFonts w:ascii="Open Sans Light" w:hAnsi="Open Sans Light" w:cs="Open Sans Light"/>
                <w:b/>
                <w:bCs/>
                <w:color w:val="3F3F42"/>
                <w:sz w:val="22"/>
                <w:szCs w:val="22"/>
              </w:rPr>
              <w:t xml:space="preserve">: </w:t>
            </w:r>
            <w:r>
              <w:rPr>
                <w:rFonts w:ascii="Open Sans Light" w:hAnsi="Open Sans Light" w:cs="Open Sans Light"/>
                <w:color w:val="3F3F42"/>
                <w:sz w:val="22"/>
                <w:szCs w:val="22"/>
              </w:rPr>
              <w:t xml:space="preserve">The </w:t>
            </w:r>
            <w:r>
              <w:rPr>
                <w:rFonts w:ascii="Open Sans Light" w:hAnsi="Open Sans Light" w:cs="Open Sans Light"/>
                <w:color w:val="3F3F42"/>
                <w:sz w:val="22"/>
                <w:szCs w:val="22"/>
              </w:rPr>
              <w:t>measures to simplify duties will be well received as will cancelling the planned</w:t>
            </w:r>
            <w:r w:rsidR="00726656">
              <w:rPr>
                <w:rFonts w:ascii="Open Sans Light" w:hAnsi="Open Sans Light" w:cs="Open Sans Light"/>
                <w:color w:val="3F3F42"/>
                <w:sz w:val="22"/>
                <w:szCs w:val="22"/>
              </w:rPr>
              <w:t xml:space="preserve"> alcohol</w:t>
            </w:r>
            <w:r>
              <w:rPr>
                <w:rFonts w:ascii="Open Sans Light" w:hAnsi="Open Sans Light" w:cs="Open Sans Light"/>
                <w:color w:val="3F3F42"/>
                <w:sz w:val="22"/>
                <w:szCs w:val="22"/>
              </w:rPr>
              <w:t xml:space="preserve"> hikes</w:t>
            </w:r>
            <w:r>
              <w:rPr>
                <w:rFonts w:ascii="Open Sans Light" w:hAnsi="Open Sans Light" w:cs="Open Sans Light"/>
                <w:color w:val="3F3F42"/>
                <w:sz w:val="22"/>
                <w:szCs w:val="22"/>
              </w:rPr>
              <w:t>.</w:t>
            </w:r>
            <w:r>
              <w:rPr>
                <w:rFonts w:ascii="Open Sans Light" w:hAnsi="Open Sans Light" w:cs="Open Sans Light"/>
                <w:color w:val="3F3F42"/>
                <w:sz w:val="22"/>
                <w:szCs w:val="22"/>
              </w:rPr>
              <w:t xml:space="preserve"> The Chancellor is trying also to encourage the English cider,</w:t>
            </w:r>
            <w:r w:rsidR="00726656">
              <w:rPr>
                <w:rFonts w:ascii="Open Sans Light" w:hAnsi="Open Sans Light" w:cs="Open Sans Light"/>
                <w:color w:val="3F3F42"/>
                <w:sz w:val="22"/>
                <w:szCs w:val="22"/>
              </w:rPr>
              <w:t xml:space="preserve"> </w:t>
            </w:r>
            <w:proofErr w:type="gramStart"/>
            <w:r w:rsidR="00726656">
              <w:rPr>
                <w:rFonts w:ascii="Open Sans Light" w:hAnsi="Open Sans Light" w:cs="Open Sans Light"/>
                <w:color w:val="3F3F42"/>
                <w:sz w:val="22"/>
                <w:szCs w:val="22"/>
              </w:rPr>
              <w:t>wine</w:t>
            </w:r>
            <w:proofErr w:type="gramEnd"/>
            <w:r>
              <w:rPr>
                <w:rFonts w:ascii="Open Sans Light" w:hAnsi="Open Sans Light" w:cs="Open Sans Light"/>
                <w:color w:val="3F3F42"/>
                <w:sz w:val="22"/>
                <w:szCs w:val="22"/>
              </w:rPr>
              <w:t xml:space="preserve"> </w:t>
            </w:r>
            <w:r w:rsidR="00726656">
              <w:rPr>
                <w:rFonts w:ascii="Open Sans Light" w:hAnsi="Open Sans Light" w:cs="Open Sans Light"/>
                <w:color w:val="3F3F42"/>
                <w:sz w:val="22"/>
                <w:szCs w:val="22"/>
              </w:rPr>
              <w:t xml:space="preserve">and </w:t>
            </w:r>
            <w:r>
              <w:rPr>
                <w:rFonts w:ascii="Open Sans Light" w:hAnsi="Open Sans Light" w:cs="Open Sans Light"/>
                <w:color w:val="3F3F42"/>
                <w:sz w:val="22"/>
                <w:szCs w:val="22"/>
              </w:rPr>
              <w:t xml:space="preserve">craft beer </w:t>
            </w:r>
            <w:r w:rsidR="00726656">
              <w:rPr>
                <w:rFonts w:ascii="Open Sans Light" w:hAnsi="Open Sans Light" w:cs="Open Sans Light"/>
                <w:color w:val="3F3F42"/>
                <w:sz w:val="22"/>
                <w:szCs w:val="22"/>
              </w:rPr>
              <w:t>industry</w:t>
            </w:r>
            <w:r>
              <w:rPr>
                <w:rFonts w:ascii="Open Sans Light" w:hAnsi="Open Sans Light" w:cs="Open Sans Light"/>
                <w:color w:val="3F3F42"/>
                <w:sz w:val="22"/>
                <w:szCs w:val="22"/>
              </w:rPr>
              <w:t xml:space="preserve"> at the same time.</w:t>
            </w:r>
            <w:r>
              <w:rPr>
                <w:rFonts w:ascii="Open Sans Light" w:hAnsi="Open Sans Light" w:cs="Open Sans Light"/>
                <w:color w:val="3F3F42"/>
                <w:sz w:val="22"/>
                <w:szCs w:val="22"/>
              </w:rPr>
              <w:t xml:space="preserve"> </w:t>
            </w:r>
          </w:p>
          <w:p w14:paraId="11DFB7F0" w14:textId="14AE36C8" w:rsidR="005A57E6" w:rsidRPr="00A128F8" w:rsidRDefault="005A57E6" w:rsidP="00A128F8">
            <w:pPr>
              <w:numPr>
                <w:ilvl w:val="0"/>
                <w:numId w:val="13"/>
              </w:numPr>
              <w:shd w:val="clear" w:color="auto" w:fill="FFFFFF"/>
              <w:spacing w:before="100" w:beforeAutospacing="1" w:after="120" w:afterAutospacing="1"/>
              <w:textAlignment w:val="baseline"/>
              <w:rPr>
                <w:rFonts w:ascii="Open Sans SemiBold" w:hAnsi="Open Sans SemiBold"/>
                <w:color w:val="005D2A"/>
                <w:sz w:val="32"/>
              </w:rPr>
            </w:pPr>
            <w:r w:rsidRPr="00A128F8">
              <w:rPr>
                <w:rFonts w:ascii="Open Sans SemiBold" w:hAnsi="Open Sans SemiBold"/>
                <w:color w:val="005D2A"/>
                <w:sz w:val="32"/>
              </w:rPr>
              <w:t>Conclusion</w:t>
            </w:r>
          </w:p>
          <w:p w14:paraId="1078D9EC" w14:textId="580C7DE1" w:rsidR="00A128F8" w:rsidRDefault="00A128F8" w:rsidP="005A57E6">
            <w:pPr>
              <w:spacing w:before="120" w:after="120"/>
              <w:jc w:val="both"/>
              <w:rPr>
                <w:rFonts w:ascii="Open Sans Light" w:hAnsi="Open Sans Light"/>
                <w:sz w:val="22"/>
              </w:rPr>
            </w:pPr>
            <w:r>
              <w:rPr>
                <w:rFonts w:ascii="Open Sans Light" w:hAnsi="Open Sans Light"/>
                <w:sz w:val="22"/>
              </w:rPr>
              <w:t xml:space="preserve">The planned hike in national insurance will impact anyone above £30k and clearly this has been seen as sufficient for now. By handing 6% pay rises (£9.50/ </w:t>
            </w:r>
            <w:proofErr w:type="spellStart"/>
            <w:proofErr w:type="gramStart"/>
            <w:r>
              <w:rPr>
                <w:rFonts w:ascii="Open Sans Light" w:hAnsi="Open Sans Light"/>
                <w:sz w:val="22"/>
              </w:rPr>
              <w:t>hr</w:t>
            </w:r>
            <w:proofErr w:type="spellEnd"/>
            <w:r>
              <w:rPr>
                <w:rFonts w:ascii="Open Sans Light" w:hAnsi="Open Sans Light"/>
                <w:sz w:val="22"/>
              </w:rPr>
              <w:t>)  to</w:t>
            </w:r>
            <w:proofErr w:type="gramEnd"/>
            <w:r>
              <w:rPr>
                <w:rFonts w:ascii="Open Sans Light" w:hAnsi="Open Sans Light"/>
                <w:sz w:val="22"/>
              </w:rPr>
              <w:t xml:space="preserve"> the 7% (2m people) of the workforce on the minimum wage th</w:t>
            </w:r>
            <w:r w:rsidR="00726656">
              <w:rPr>
                <w:rFonts w:ascii="Open Sans Light" w:hAnsi="Open Sans Light"/>
                <w:sz w:val="22"/>
              </w:rPr>
              <w:t>e Chancellor has</w:t>
            </w:r>
            <w:r>
              <w:rPr>
                <w:rFonts w:ascii="Open Sans Light" w:hAnsi="Open Sans Light"/>
                <w:sz w:val="22"/>
              </w:rPr>
              <w:t xml:space="preserve"> ensure</w:t>
            </w:r>
            <w:r w:rsidR="00726656">
              <w:rPr>
                <w:rFonts w:ascii="Open Sans Light" w:hAnsi="Open Sans Light"/>
                <w:sz w:val="22"/>
              </w:rPr>
              <w:t>d</w:t>
            </w:r>
            <w:r>
              <w:rPr>
                <w:rFonts w:ascii="Open Sans Light" w:hAnsi="Open Sans Light"/>
                <w:sz w:val="22"/>
              </w:rPr>
              <w:t xml:space="preserve"> the lowest paid are not seeing a pay cut in real terms.</w:t>
            </w:r>
          </w:p>
          <w:p w14:paraId="4EA01FAB" w14:textId="6C8B4142" w:rsidR="005A57E6" w:rsidRDefault="00A128F8" w:rsidP="005A57E6">
            <w:pPr>
              <w:spacing w:before="120" w:after="120"/>
              <w:jc w:val="both"/>
              <w:rPr>
                <w:rFonts w:ascii="Open Sans Light" w:hAnsi="Open Sans Light"/>
                <w:sz w:val="22"/>
              </w:rPr>
            </w:pPr>
            <w:r>
              <w:rPr>
                <w:rFonts w:ascii="Open Sans Light" w:hAnsi="Open Sans Light"/>
                <w:sz w:val="22"/>
              </w:rPr>
              <w:t xml:space="preserve"> There is nothing in the Autumn Budget to</w:t>
            </w:r>
            <w:r w:rsidR="00726656">
              <w:rPr>
                <w:rFonts w:ascii="Open Sans Light" w:hAnsi="Open Sans Light"/>
                <w:sz w:val="22"/>
              </w:rPr>
              <w:t xml:space="preserve">o earth </w:t>
            </w:r>
            <w:proofErr w:type="gramStart"/>
            <w:r w:rsidR="00726656">
              <w:rPr>
                <w:rFonts w:ascii="Open Sans Light" w:hAnsi="Open Sans Light"/>
                <w:sz w:val="22"/>
              </w:rPr>
              <w:t>shattering</w:t>
            </w:r>
            <w:proofErr w:type="gramEnd"/>
            <w:r w:rsidR="00726656">
              <w:rPr>
                <w:rFonts w:ascii="Open Sans Light" w:hAnsi="Open Sans Light"/>
                <w:sz w:val="22"/>
              </w:rPr>
              <w:t xml:space="preserve"> and this should build on the Chancellor’s reputation as having a steady hand in what remain quite testing times.</w:t>
            </w:r>
          </w:p>
          <w:p w14:paraId="6FEBC6C6" w14:textId="077C526F" w:rsidR="005A57E6" w:rsidRDefault="005A57E6" w:rsidP="005A57E6">
            <w:pPr>
              <w:spacing w:before="120" w:after="120"/>
              <w:jc w:val="both"/>
              <w:rPr>
                <w:rFonts w:ascii="Open Sans Light" w:hAnsi="Open Sans Light"/>
                <w:sz w:val="22"/>
              </w:rPr>
            </w:pPr>
          </w:p>
          <w:p w14:paraId="477330E2" w14:textId="29272FA9" w:rsidR="00726656" w:rsidRDefault="00726656" w:rsidP="005A57E6">
            <w:pPr>
              <w:spacing w:before="120" w:after="120"/>
              <w:jc w:val="both"/>
              <w:rPr>
                <w:rFonts w:ascii="Open Sans Light" w:hAnsi="Open Sans Light"/>
                <w:sz w:val="22"/>
              </w:rPr>
            </w:pPr>
          </w:p>
          <w:p w14:paraId="5F5C2CE7" w14:textId="77777777" w:rsidR="00726656" w:rsidRPr="005A57E6" w:rsidRDefault="00726656" w:rsidP="005A57E6">
            <w:pPr>
              <w:spacing w:before="120" w:after="120"/>
              <w:jc w:val="both"/>
              <w:rPr>
                <w:rFonts w:ascii="Open Sans Light" w:hAnsi="Open Sans Light"/>
                <w:sz w:val="22"/>
              </w:rPr>
            </w:pPr>
          </w:p>
          <w:p w14:paraId="3861900B" w14:textId="77777777" w:rsidR="005A57E6" w:rsidRDefault="005A57E6" w:rsidP="005A57E6">
            <w:pPr>
              <w:shd w:val="clear" w:color="auto" w:fill="FFFFFF"/>
              <w:spacing w:before="100" w:beforeAutospacing="1" w:after="100" w:afterAutospacing="1"/>
              <w:ind w:left="360"/>
              <w:textAlignment w:val="baseline"/>
              <w:rPr>
                <w:rFonts w:ascii="Helvetica" w:hAnsi="Helvetica"/>
                <w:color w:val="3F3F42"/>
              </w:rPr>
            </w:pPr>
          </w:p>
          <w:p w14:paraId="592B0D33" w14:textId="77777777" w:rsidR="005A57E6" w:rsidRPr="005A57E6" w:rsidRDefault="005A57E6" w:rsidP="005A57E6">
            <w:pPr>
              <w:shd w:val="clear" w:color="auto" w:fill="FFFFFF"/>
              <w:spacing w:before="100" w:beforeAutospacing="1" w:after="100" w:afterAutospacing="1"/>
              <w:textAlignment w:val="baseline"/>
              <w:rPr>
                <w:rFonts w:ascii="Helvetica" w:eastAsia="Times New Roman" w:hAnsi="Helvetica" w:cs="Times New Roman"/>
                <w:color w:val="3F3F42"/>
                <w:lang w:val="en-GB" w:eastAsia="en-GB"/>
              </w:rPr>
            </w:pPr>
          </w:p>
          <w:p w14:paraId="66E6243E" w14:textId="75B4D85C" w:rsidR="005A57E6" w:rsidRPr="005A57E6" w:rsidRDefault="005A57E6" w:rsidP="005A57E6">
            <w:pPr>
              <w:spacing w:before="120" w:after="120"/>
              <w:jc w:val="both"/>
              <w:rPr>
                <w:rFonts w:ascii="Open Sans Light" w:hAnsi="Open Sans Light"/>
                <w:sz w:val="22"/>
              </w:rPr>
            </w:pPr>
          </w:p>
        </w:tc>
      </w:tr>
      <w:tr w:rsidR="001B10A5" w:rsidRPr="001B10A5" w14:paraId="1F93BB74" w14:textId="77777777" w:rsidTr="000C783A">
        <w:tblPrEx>
          <w:jc w:val="center"/>
          <w:tblInd w:w="0" w:type="dxa"/>
          <w:tblCellMar>
            <w:left w:w="108" w:type="dxa"/>
            <w:right w:w="108" w:type="dxa"/>
          </w:tblCellMar>
        </w:tblPrEx>
        <w:trPr>
          <w:jc w:val="center"/>
        </w:trPr>
        <w:tc>
          <w:tcPr>
            <w:tcW w:w="10740" w:type="dxa"/>
            <w:gridSpan w:val="4"/>
            <w:shd w:val="clear" w:color="auto" w:fill="005E2A"/>
          </w:tcPr>
          <w:p w14:paraId="0A7758BB" w14:textId="643EDC38" w:rsidR="001B10A5" w:rsidRPr="00A00010" w:rsidRDefault="0014734B" w:rsidP="005C28B1">
            <w:pPr>
              <w:spacing w:before="120" w:after="120"/>
              <w:jc w:val="center"/>
              <w:rPr>
                <w:rFonts w:ascii="Open Sans Light" w:hAnsi="Open Sans Light"/>
                <w:color w:val="404040" w:themeColor="text1" w:themeTint="BF"/>
              </w:rPr>
            </w:pPr>
            <w:r w:rsidRPr="0014734B">
              <w:rPr>
                <w:rFonts w:ascii="Open Sans Light" w:hAnsi="Open Sans Light"/>
                <w:color w:val="FFFFFF" w:themeColor="background1"/>
              </w:rPr>
              <w:lastRenderedPageBreak/>
              <w:t xml:space="preserve">Collins </w:t>
            </w:r>
            <w:r w:rsidR="005C28B1">
              <w:rPr>
                <w:rFonts w:ascii="Open Sans Light" w:hAnsi="Open Sans Light"/>
                <w:color w:val="FFFFFF" w:themeColor="background1"/>
              </w:rPr>
              <w:t xml:space="preserve">Sarri Statham Investments Ltd </w:t>
            </w:r>
          </w:p>
        </w:tc>
      </w:tr>
      <w:tr w:rsidR="001B10A5" w:rsidRPr="001B10A5" w14:paraId="061A2B55" w14:textId="77777777" w:rsidTr="000C783A">
        <w:tblPrEx>
          <w:jc w:val="center"/>
          <w:tblInd w:w="0" w:type="dxa"/>
          <w:tblCellMar>
            <w:left w:w="108" w:type="dxa"/>
            <w:right w:w="108" w:type="dxa"/>
          </w:tblCellMar>
        </w:tblPrEx>
        <w:trPr>
          <w:trHeight w:val="3294"/>
          <w:jc w:val="center"/>
        </w:trPr>
        <w:tc>
          <w:tcPr>
            <w:tcW w:w="10740" w:type="dxa"/>
            <w:gridSpan w:val="4"/>
          </w:tcPr>
          <w:tbl>
            <w:tblPr>
              <w:tblStyle w:val="TableGrid"/>
              <w:tblW w:w="10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66"/>
            </w:tblGrid>
            <w:tr w:rsidR="005C28B1" w14:paraId="41F9FA11" w14:textId="77777777" w:rsidTr="004D2579">
              <w:trPr>
                <w:trHeight w:val="1516"/>
                <w:jc w:val="center"/>
              </w:trPr>
              <w:tc>
                <w:tcPr>
                  <w:tcW w:w="10666" w:type="dxa"/>
                </w:tcPr>
                <w:p w14:paraId="3F531409" w14:textId="77777777" w:rsidR="00F023DD" w:rsidRPr="0014734B" w:rsidRDefault="00F023DD" w:rsidP="00F023DD">
                  <w:pPr>
                    <w:spacing w:before="120"/>
                    <w:rPr>
                      <w:rFonts w:ascii="Open Sans" w:hAnsi="Open Sans"/>
                      <w:b/>
                      <w:bCs/>
                      <w:color w:val="005D2A"/>
                      <w:sz w:val="19"/>
                      <w:szCs w:val="19"/>
                    </w:rPr>
                  </w:pPr>
                  <w:r w:rsidRPr="0014734B">
                    <w:rPr>
                      <w:rFonts w:ascii="Open Sans" w:hAnsi="Open Sans"/>
                      <w:b/>
                      <w:bCs/>
                      <w:color w:val="005D2A"/>
                      <w:sz w:val="19"/>
                      <w:szCs w:val="19"/>
                    </w:rPr>
                    <w:t xml:space="preserve">ANALYST CERTIFICATION: </w:t>
                  </w:r>
                </w:p>
                <w:p w14:paraId="71346EA4" w14:textId="77777777" w:rsidR="00F023DD" w:rsidRPr="004C26FA" w:rsidRDefault="00F023DD" w:rsidP="00F023DD">
                  <w:pPr>
                    <w:spacing w:before="120"/>
                    <w:rPr>
                      <w:rFonts w:ascii="Open Sans" w:hAnsi="Open Sans"/>
                      <w:color w:val="404040" w:themeColor="text1" w:themeTint="BF"/>
                      <w:sz w:val="19"/>
                      <w:szCs w:val="19"/>
                    </w:rPr>
                  </w:pPr>
                  <w:r w:rsidRPr="0014734B">
                    <w:rPr>
                      <w:rFonts w:ascii="Open Sans" w:hAnsi="Open Sans"/>
                      <w:color w:val="404040" w:themeColor="text1" w:themeTint="BF"/>
                      <w:sz w:val="19"/>
                      <w:szCs w:val="19"/>
                    </w:rPr>
                    <w:t>The report’s author certifies that this research report accurately states his personal views about the subject securities, which is reflected in the ratings as well as</w:t>
                  </w:r>
                  <w:r>
                    <w:rPr>
                      <w:rFonts w:ascii="Open Sans" w:hAnsi="Open Sans"/>
                      <w:color w:val="404040" w:themeColor="text1" w:themeTint="BF"/>
                      <w:sz w:val="19"/>
                      <w:szCs w:val="19"/>
                    </w:rPr>
                    <w:t xml:space="preserve"> the substance of the reports. </w:t>
                  </w:r>
                </w:p>
                <w:p w14:paraId="03856D76" w14:textId="77777777" w:rsidR="00F023DD" w:rsidRPr="0014734B" w:rsidRDefault="00F023DD" w:rsidP="00F023DD">
                  <w:pPr>
                    <w:spacing w:before="120"/>
                    <w:jc w:val="both"/>
                    <w:rPr>
                      <w:rFonts w:ascii="Open Sans" w:hAnsi="Open Sans"/>
                      <w:b/>
                      <w:bCs/>
                      <w:color w:val="005D2A"/>
                      <w:sz w:val="19"/>
                      <w:szCs w:val="19"/>
                    </w:rPr>
                  </w:pPr>
                  <w:r w:rsidRPr="0014734B">
                    <w:rPr>
                      <w:rFonts w:ascii="Open Sans" w:hAnsi="Open Sans"/>
                      <w:b/>
                      <w:bCs/>
                      <w:color w:val="005D2A"/>
                      <w:sz w:val="19"/>
                      <w:szCs w:val="19"/>
                    </w:rPr>
                    <w:t>RECOMMENDATIONS: </w:t>
                  </w:r>
                </w:p>
                <w:p w14:paraId="30C5004A" w14:textId="77777777" w:rsidR="00F023DD" w:rsidRPr="0014734B" w:rsidRDefault="00F023DD" w:rsidP="00F023DD">
                  <w:pPr>
                    <w:spacing w:before="120"/>
                    <w:jc w:val="both"/>
                    <w:rPr>
                      <w:rFonts w:ascii="Open Sans" w:hAnsi="Open Sans"/>
                      <w:color w:val="404040" w:themeColor="text1" w:themeTint="BF"/>
                      <w:sz w:val="19"/>
                      <w:szCs w:val="19"/>
                    </w:rPr>
                  </w:pPr>
                  <w:r w:rsidRPr="0014734B">
                    <w:rPr>
                      <w:rFonts w:ascii="Open Sans" w:hAnsi="Open Sans"/>
                      <w:color w:val="404040" w:themeColor="text1" w:themeTint="BF"/>
                      <w:sz w:val="19"/>
                      <w:szCs w:val="19"/>
                    </w:rPr>
                    <w:t xml:space="preserve">Collins Sarri Statham Investments Ltd (CSS) does not in any of its publications </w:t>
                  </w:r>
                  <w:proofErr w:type="gramStart"/>
                  <w:r w:rsidRPr="0014734B">
                    <w:rPr>
                      <w:rFonts w:ascii="Open Sans" w:hAnsi="Open Sans"/>
                      <w:color w:val="404040" w:themeColor="text1" w:themeTint="BF"/>
                      <w:sz w:val="19"/>
                      <w:szCs w:val="19"/>
                    </w:rPr>
                    <w:t>take into account</w:t>
                  </w:r>
                  <w:proofErr w:type="gramEnd"/>
                  <w:r w:rsidRPr="0014734B">
                    <w:rPr>
                      <w:rFonts w:ascii="Open Sans" w:hAnsi="Open Sans"/>
                      <w:color w:val="404040" w:themeColor="text1" w:themeTint="BF"/>
                      <w:sz w:val="19"/>
                      <w:szCs w:val="19"/>
                    </w:rPr>
                    <w:t xml:space="preserve"> any particular recipient's investment objectives, financial situation, and specific needs and demands. Therefore, all CSS publications are, unless otherwise specifically stated, intended for informational and/or marketing purposes only.CSS shall not be responsible for any loss arising from any investment based on a perceived recommendation.</w:t>
                  </w:r>
                </w:p>
                <w:p w14:paraId="10A8E81C" w14:textId="77777777" w:rsidR="00F023DD" w:rsidRPr="0014734B" w:rsidRDefault="00F023DD" w:rsidP="00F023DD">
                  <w:pPr>
                    <w:spacing w:before="120"/>
                    <w:jc w:val="both"/>
                    <w:rPr>
                      <w:rFonts w:ascii="Open Sans" w:hAnsi="Open Sans"/>
                      <w:color w:val="404040" w:themeColor="text1" w:themeTint="BF"/>
                      <w:sz w:val="19"/>
                      <w:szCs w:val="19"/>
                    </w:rPr>
                  </w:pPr>
                  <w:r w:rsidRPr="0014734B">
                    <w:rPr>
                      <w:rFonts w:ascii="Open Sans" w:hAnsi="Open Sans"/>
                      <w:color w:val="404040" w:themeColor="text1" w:themeTint="BF"/>
                      <w:sz w:val="19"/>
                      <w:szCs w:val="19"/>
                    </w:rPr>
                    <w:t>No publication (including recommendations) shall be construed as a representation or warranty that the recipient will profit, nor avoid sustaining losses, from trading in accordance with a trading strat</w:t>
                  </w:r>
                  <w:r>
                    <w:rPr>
                      <w:rFonts w:ascii="Open Sans" w:hAnsi="Open Sans"/>
                      <w:color w:val="404040" w:themeColor="text1" w:themeTint="BF"/>
                      <w:sz w:val="19"/>
                      <w:szCs w:val="19"/>
                    </w:rPr>
                    <w:t>egy set forth in a publication.</w:t>
                  </w:r>
                </w:p>
                <w:p w14:paraId="3ADD29C1" w14:textId="77777777" w:rsidR="00F023DD" w:rsidRDefault="00F023DD" w:rsidP="00F023DD">
                  <w:pPr>
                    <w:spacing w:before="120"/>
                    <w:jc w:val="both"/>
                    <w:rPr>
                      <w:rFonts w:ascii="Open Sans" w:hAnsi="Open Sans"/>
                      <w:color w:val="404040" w:themeColor="text1" w:themeTint="BF"/>
                      <w:sz w:val="19"/>
                      <w:szCs w:val="19"/>
                    </w:rPr>
                  </w:pPr>
                  <w:r w:rsidRPr="0014734B">
                    <w:rPr>
                      <w:rFonts w:ascii="Open Sans" w:hAnsi="Open Sans"/>
                      <w:color w:val="404040" w:themeColor="text1" w:themeTint="BF"/>
                      <w:sz w:val="19"/>
                      <w:szCs w:val="19"/>
                    </w:rPr>
                    <w:t>This research is non-independent and is classified as a Marketing Communication under FCA rules detailed in their Conduct of Business Rulebook (COBS). As such it has not been prepared in accordance with legal requirements designed to promote independence of investment research and it is not subject to the prohibition of dealing ahead of the dissemination of investment research outlined in COBS 12.2.</w:t>
                  </w:r>
                  <w:r>
                    <w:rPr>
                      <w:rFonts w:ascii="Open Sans" w:hAnsi="Open Sans"/>
                      <w:color w:val="404040" w:themeColor="text1" w:themeTint="BF"/>
                      <w:sz w:val="19"/>
                      <w:szCs w:val="19"/>
                    </w:rPr>
                    <w:t>18</w:t>
                  </w:r>
                  <w:r w:rsidRPr="0014734B">
                    <w:rPr>
                      <w:rFonts w:ascii="Open Sans" w:hAnsi="Open Sans"/>
                      <w:color w:val="404040" w:themeColor="text1" w:themeTint="BF"/>
                      <w:sz w:val="19"/>
                      <w:szCs w:val="19"/>
                    </w:rPr>
                    <w:t>.</w:t>
                  </w:r>
                </w:p>
                <w:p w14:paraId="519791B3" w14:textId="77777777" w:rsidR="00F023DD" w:rsidRPr="0014734B" w:rsidRDefault="00F023DD" w:rsidP="00F023DD">
                  <w:pPr>
                    <w:spacing w:before="120"/>
                    <w:jc w:val="both"/>
                    <w:rPr>
                      <w:rFonts w:ascii="Open Sans" w:hAnsi="Open Sans"/>
                      <w:b/>
                      <w:color w:val="005D2A"/>
                      <w:sz w:val="19"/>
                      <w:szCs w:val="19"/>
                    </w:rPr>
                  </w:pPr>
                  <w:r w:rsidRPr="0014734B">
                    <w:rPr>
                      <w:rFonts w:ascii="Open Sans" w:hAnsi="Open Sans"/>
                      <w:b/>
                      <w:color w:val="005D2A"/>
                      <w:sz w:val="19"/>
                      <w:szCs w:val="19"/>
                    </w:rPr>
                    <w:t>RISK WARNING:</w:t>
                  </w:r>
                </w:p>
                <w:p w14:paraId="3EBD6FE5" w14:textId="77777777" w:rsidR="00F023DD" w:rsidRPr="00292696" w:rsidRDefault="00F023DD" w:rsidP="00F023DD">
                  <w:pPr>
                    <w:spacing w:before="120"/>
                    <w:jc w:val="both"/>
                    <w:rPr>
                      <w:rFonts w:ascii="Open Sans" w:hAnsi="Open Sans"/>
                      <w:color w:val="343434"/>
                      <w:sz w:val="19"/>
                      <w:szCs w:val="19"/>
                    </w:rPr>
                  </w:pPr>
                  <w:r w:rsidRPr="0014734B">
                    <w:rPr>
                      <w:rFonts w:ascii="Open Sans" w:hAnsi="Open Sans"/>
                      <w:color w:val="404040" w:themeColor="text1" w:themeTint="BF"/>
                      <w:sz w:val="19"/>
                      <w:szCs w:val="19"/>
                    </w:rPr>
                    <w:t>Trading in the products and services offered by Collins Sarri Statham Investments Ltd (CSS) may, result in losses as well as profits as the value of investments may go down as well as up. You may not get back the full amount you have invested. Any reference to past performance should not be viewed as an indication of any future performance. Investments held in overseas markets are subject to the effects of changes in exchange rates which will impact on the value of the underlying investment</w:t>
                  </w:r>
                  <w:r>
                    <w:rPr>
                      <w:rFonts w:ascii="Open Sans" w:hAnsi="Open Sans"/>
                      <w:color w:val="404040" w:themeColor="text1" w:themeTint="BF"/>
                      <w:sz w:val="19"/>
                      <w:szCs w:val="19"/>
                    </w:rPr>
                    <w:t xml:space="preserve">. </w:t>
                  </w:r>
                  <w:r w:rsidRPr="00292696">
                    <w:rPr>
                      <w:rFonts w:ascii="Open Sans" w:hAnsi="Open Sans"/>
                      <w:color w:val="343434"/>
                      <w:sz w:val="19"/>
                      <w:szCs w:val="19"/>
                    </w:rPr>
                    <w:t>Leveraged products such as Contracts for Difference (CFDs), derivatives, commodities &amp; Foreign Exchange (FX), carry a higher risk to your capital and they can lose their value rapidly</w:t>
                  </w:r>
                  <w:r>
                    <w:rPr>
                      <w:rFonts w:ascii="Open Sans" w:hAnsi="Open Sans"/>
                      <w:color w:val="343434"/>
                      <w:sz w:val="19"/>
                      <w:szCs w:val="19"/>
                    </w:rPr>
                    <w:t>.</w:t>
                  </w:r>
                </w:p>
                <w:p w14:paraId="047A854D" w14:textId="77777777" w:rsidR="00F023DD" w:rsidRPr="0014734B" w:rsidRDefault="00F023DD" w:rsidP="00F023DD">
                  <w:pPr>
                    <w:spacing w:before="120"/>
                    <w:jc w:val="both"/>
                    <w:rPr>
                      <w:rFonts w:ascii="Open Sans" w:hAnsi="Open Sans"/>
                      <w:b/>
                      <w:color w:val="005D2A"/>
                      <w:sz w:val="19"/>
                      <w:szCs w:val="19"/>
                    </w:rPr>
                  </w:pPr>
                  <w:r w:rsidRPr="0014734B">
                    <w:rPr>
                      <w:rFonts w:ascii="Open Sans" w:hAnsi="Open Sans"/>
                      <w:b/>
                      <w:color w:val="005D2A"/>
                      <w:sz w:val="19"/>
                      <w:szCs w:val="19"/>
                    </w:rPr>
                    <w:t xml:space="preserve">SPECULATIVE TRADING IS NOT SUITABLE FOR ALL INVESTORS. </w:t>
                  </w:r>
                </w:p>
                <w:p w14:paraId="6B589E08" w14:textId="77777777" w:rsidR="00F023DD" w:rsidRDefault="00F023DD" w:rsidP="00F023DD">
                  <w:r w:rsidRPr="0014734B">
                    <w:rPr>
                      <w:rFonts w:ascii="Open Sans" w:hAnsi="Open Sans"/>
                      <w:color w:val="404040" w:themeColor="text1" w:themeTint="BF"/>
                      <w:sz w:val="19"/>
                      <w:szCs w:val="19"/>
                    </w:rPr>
                    <w:t>The information contained herein is based on materials and sources that we believe to be reliable however we make no representation or warranty, either express or implied, in relation to the accuracy, completeness or reliability of the information contained herein. Please note that the figures shown may, in some instances, be rounded to the nearest penny. Prices can move sharply from those quoted in this document. Current prices can be verified by calling one of our brokers. CSS is under no obligation to update the information contained herein. Neither CSS, nor its affiliates, nor its employees shall have any liability whatsoever for any indirect or consequential loss or damage arising from the use of this document.</w:t>
                  </w:r>
                </w:p>
                <w:p w14:paraId="427C9F59" w14:textId="1D23FFAD" w:rsidR="00F023DD" w:rsidRDefault="00F023DD" w:rsidP="005C28B1">
                  <w:pPr>
                    <w:spacing w:before="120"/>
                    <w:jc w:val="both"/>
                    <w:rPr>
                      <w:rFonts w:ascii="Open Sans" w:hAnsi="Open Sans"/>
                      <w:color w:val="404040" w:themeColor="text1" w:themeTint="BF"/>
                      <w:sz w:val="19"/>
                      <w:szCs w:val="19"/>
                    </w:rPr>
                  </w:pPr>
                </w:p>
              </w:tc>
            </w:tr>
            <w:tr w:rsidR="005C28B1" w14:paraId="16BE045D" w14:textId="77777777" w:rsidTr="004D2579">
              <w:trPr>
                <w:trHeight w:val="1516"/>
                <w:jc w:val="center"/>
              </w:trPr>
              <w:tc>
                <w:tcPr>
                  <w:tcW w:w="10666" w:type="dxa"/>
                </w:tcPr>
                <w:p w14:paraId="2DFB24C2" w14:textId="77777777" w:rsidR="005C28B1" w:rsidRDefault="005C28B1">
                  <w:pPr>
                    <w:spacing w:before="120"/>
                    <w:jc w:val="both"/>
                    <w:rPr>
                      <w:rFonts w:ascii="Open Sans" w:hAnsi="Open Sans"/>
                      <w:b/>
                      <w:color w:val="005D2A"/>
                      <w:sz w:val="19"/>
                      <w:szCs w:val="19"/>
                    </w:rPr>
                  </w:pPr>
                </w:p>
              </w:tc>
            </w:tr>
          </w:tbl>
          <w:p w14:paraId="3626B5D3" w14:textId="2665E3F9" w:rsidR="0014734B" w:rsidRPr="0014734B" w:rsidRDefault="0014734B" w:rsidP="00882411">
            <w:pPr>
              <w:spacing w:before="120"/>
              <w:jc w:val="both"/>
              <w:rPr>
                <w:rFonts w:ascii="Open Sans" w:hAnsi="Open Sans"/>
                <w:color w:val="404040" w:themeColor="text1" w:themeTint="BF"/>
                <w:sz w:val="19"/>
                <w:szCs w:val="19"/>
              </w:rPr>
            </w:pPr>
          </w:p>
        </w:tc>
      </w:tr>
    </w:tbl>
    <w:p w14:paraId="34FD20E4" w14:textId="77777777" w:rsidR="001B10A5" w:rsidRDefault="001B10A5" w:rsidP="0014734B"/>
    <w:sectPr w:rsidR="001B10A5" w:rsidSect="008465E7">
      <w:footerReference w:type="default" r:id="rId13"/>
      <w:pgSz w:w="11900" w:h="16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8462" w14:textId="77777777" w:rsidR="001B2CF2" w:rsidRDefault="001B2CF2" w:rsidP="00562901">
      <w:r>
        <w:separator/>
      </w:r>
    </w:p>
  </w:endnote>
  <w:endnote w:type="continuationSeparator" w:id="0">
    <w:p w14:paraId="324F301A" w14:textId="77777777" w:rsidR="001B2CF2" w:rsidRDefault="001B2CF2" w:rsidP="0056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Open Sans Light"/>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97E4" w14:textId="6E013594" w:rsidR="001B2CF2" w:rsidRPr="00123BB8" w:rsidRDefault="001B2CF2" w:rsidP="00FD7BFE">
    <w:pPr>
      <w:pStyle w:val="Footer"/>
      <w:spacing w:line="276" w:lineRule="auto"/>
      <w:jc w:val="center"/>
      <w:rPr>
        <w:rFonts w:ascii="Open Sans SemiBold" w:hAnsi="Open Sans SemiBold"/>
        <w:b/>
        <w:bCs/>
        <w:color w:val="005E2A"/>
        <w:sz w:val="18"/>
      </w:rPr>
    </w:pPr>
    <w:r w:rsidRPr="00123BB8">
      <w:rPr>
        <w:rFonts w:ascii="Open Sans SemiBold" w:hAnsi="Open Sans SemiBold"/>
        <w:b/>
        <w:bCs/>
        <w:color w:val="005E2A"/>
        <w:sz w:val="18"/>
      </w:rPr>
      <w:t>Collins</w:t>
    </w:r>
    <w:r>
      <w:rPr>
        <w:rFonts w:ascii="Open Sans SemiBold" w:hAnsi="Open Sans SemiBold"/>
        <w:b/>
        <w:bCs/>
        <w:color w:val="005E2A"/>
        <w:sz w:val="18"/>
      </w:rPr>
      <w:t xml:space="preserve"> Sarri Statham Investments Ltd.</w:t>
    </w:r>
    <w:r w:rsidRPr="00123BB8">
      <w:rPr>
        <w:rFonts w:ascii="Open Sans SemiBold" w:hAnsi="Open Sans SemiBold"/>
        <w:b/>
        <w:bCs/>
        <w:color w:val="005E2A"/>
        <w:sz w:val="18"/>
      </w:rPr>
      <w:t xml:space="preserve"> </w:t>
    </w:r>
    <w:r>
      <w:rPr>
        <w:rFonts w:ascii="Open Sans SemiBold" w:hAnsi="Open Sans SemiBold"/>
        <w:b/>
        <w:bCs/>
        <w:color w:val="005E2A"/>
        <w:sz w:val="18"/>
      </w:rPr>
      <w:t>138 Fortis Green Road, Muswell Hill, London N10 3DU</w:t>
    </w:r>
  </w:p>
  <w:p w14:paraId="24640416" w14:textId="295A3FB2" w:rsidR="001B2CF2" w:rsidRPr="00123BB8" w:rsidRDefault="001B2CF2" w:rsidP="00FD7BFE">
    <w:pPr>
      <w:pStyle w:val="Footer"/>
      <w:spacing w:line="276" w:lineRule="auto"/>
      <w:jc w:val="center"/>
      <w:rPr>
        <w:rFonts w:ascii="Open Sans Light" w:hAnsi="Open Sans Light"/>
        <w:sz w:val="18"/>
      </w:rPr>
    </w:pPr>
    <w:r w:rsidRPr="00123BB8">
      <w:rPr>
        <w:rFonts w:ascii="Open Sans SemiBold" w:hAnsi="Open Sans SemiBold"/>
        <w:b/>
        <w:bCs/>
        <w:sz w:val="18"/>
      </w:rPr>
      <w:t>T</w:t>
    </w:r>
    <w:r>
      <w:rPr>
        <w:rFonts w:ascii="Open Sans Light" w:hAnsi="Open Sans Light"/>
        <w:sz w:val="18"/>
      </w:rPr>
      <w:t xml:space="preserve"> +44 (0)20 8 057 6380 </w:t>
    </w:r>
    <w:r w:rsidRPr="00123BB8">
      <w:rPr>
        <w:rFonts w:ascii="Open Sans Light" w:hAnsi="Open Sans Light"/>
        <w:sz w:val="18"/>
      </w:rPr>
      <w:t xml:space="preserve">  </w:t>
    </w:r>
    <w:r w:rsidRPr="00123BB8">
      <w:rPr>
        <w:rFonts w:ascii="Open Sans SemiBold" w:hAnsi="Open Sans SemiBold"/>
        <w:b/>
        <w:bCs/>
        <w:sz w:val="18"/>
      </w:rPr>
      <w:t>W</w:t>
    </w:r>
    <w:r w:rsidRPr="00123BB8">
      <w:rPr>
        <w:rFonts w:ascii="Open Sans Light" w:hAnsi="Open Sans Light"/>
        <w:sz w:val="18"/>
      </w:rPr>
      <w:t xml:space="preserve"> </w:t>
    </w:r>
    <w:proofErr w:type="gramStart"/>
    <w:r w:rsidRPr="00123BB8">
      <w:rPr>
        <w:rFonts w:ascii="Open Sans Light" w:hAnsi="Open Sans Light"/>
        <w:sz w:val="18"/>
      </w:rPr>
      <w:t xml:space="preserve">www.css-investments.com  </w:t>
    </w:r>
    <w:r w:rsidRPr="00123BB8">
      <w:rPr>
        <w:rFonts w:ascii="Open Sans SemiBold" w:hAnsi="Open Sans SemiBold"/>
        <w:b/>
        <w:bCs/>
        <w:sz w:val="18"/>
      </w:rPr>
      <w:t>E</w:t>
    </w:r>
    <w:proofErr w:type="gramEnd"/>
    <w:r w:rsidRPr="00123BB8">
      <w:rPr>
        <w:rFonts w:ascii="Open Sans Light" w:hAnsi="Open Sans Light"/>
        <w:sz w:val="18"/>
      </w:rPr>
      <w:t xml:space="preserve"> info@css-investments.com</w:t>
    </w:r>
  </w:p>
  <w:p w14:paraId="3E4E0E4A" w14:textId="63FB27B7" w:rsidR="001B2CF2" w:rsidRPr="00123BB8" w:rsidRDefault="001B2CF2" w:rsidP="00FD7BFE">
    <w:pPr>
      <w:pStyle w:val="Footer"/>
      <w:spacing w:line="276" w:lineRule="auto"/>
      <w:jc w:val="center"/>
      <w:rPr>
        <w:rFonts w:ascii="Open Sans Light" w:hAnsi="Open Sans Light"/>
        <w:sz w:val="18"/>
      </w:rPr>
    </w:pPr>
    <w:r w:rsidRPr="00123BB8">
      <w:rPr>
        <w:rFonts w:ascii="Open Sans Light" w:hAnsi="Open Sans Light"/>
        <w:sz w:val="18"/>
      </w:rPr>
      <w:t xml:space="preserve">Collins </w:t>
    </w:r>
    <w:r>
      <w:rPr>
        <w:rFonts w:ascii="Open Sans Light" w:hAnsi="Open Sans Light"/>
        <w:sz w:val="18"/>
      </w:rPr>
      <w:t>Sarri Statham Investments Ltd i</w:t>
    </w:r>
    <w:r w:rsidRPr="00123BB8">
      <w:rPr>
        <w:rFonts w:ascii="Open Sans Light" w:hAnsi="Open Sans Light"/>
        <w:sz w:val="18"/>
      </w:rPr>
      <w:t xml:space="preserve">s </w:t>
    </w:r>
    <w:proofErr w:type="spellStart"/>
    <w:r w:rsidRPr="00123BB8">
      <w:rPr>
        <w:rFonts w:ascii="Open Sans Light" w:hAnsi="Open Sans Light"/>
        <w:sz w:val="18"/>
      </w:rPr>
      <w:t>authorised</w:t>
    </w:r>
    <w:proofErr w:type="spellEnd"/>
    <w:r w:rsidRPr="00123BB8">
      <w:rPr>
        <w:rFonts w:ascii="Open Sans Light" w:hAnsi="Open Sans Light"/>
        <w:sz w:val="18"/>
      </w:rPr>
      <w:t xml:space="preserve"> and regulated by the Financial Conduct Authority (Registration no. 483868). Registered in England and Wales (Company no. 6539190)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55B9" w14:textId="77777777" w:rsidR="001B2CF2" w:rsidRDefault="001B2CF2" w:rsidP="00562901">
      <w:r>
        <w:separator/>
      </w:r>
    </w:p>
  </w:footnote>
  <w:footnote w:type="continuationSeparator" w:id="0">
    <w:p w14:paraId="05736C1B" w14:textId="77777777" w:rsidR="001B2CF2" w:rsidRDefault="001B2CF2" w:rsidP="0056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FA"/>
    <w:multiLevelType w:val="hybridMultilevel"/>
    <w:tmpl w:val="9D125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C7DDD"/>
    <w:multiLevelType w:val="hybridMultilevel"/>
    <w:tmpl w:val="FFB21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95794"/>
    <w:multiLevelType w:val="hybridMultilevel"/>
    <w:tmpl w:val="97E0094C"/>
    <w:lvl w:ilvl="0" w:tplc="B98EFBEE">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294B44"/>
    <w:multiLevelType w:val="hybridMultilevel"/>
    <w:tmpl w:val="19D2E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825F1"/>
    <w:multiLevelType w:val="hybridMultilevel"/>
    <w:tmpl w:val="1DD6E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904142"/>
    <w:multiLevelType w:val="hybridMultilevel"/>
    <w:tmpl w:val="B490A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C41FA"/>
    <w:multiLevelType w:val="multilevel"/>
    <w:tmpl w:val="A0EE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A74A98"/>
    <w:multiLevelType w:val="multilevel"/>
    <w:tmpl w:val="BD24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6B2FFC"/>
    <w:multiLevelType w:val="hybridMultilevel"/>
    <w:tmpl w:val="B8B0C67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548F3"/>
    <w:multiLevelType w:val="multilevel"/>
    <w:tmpl w:val="9246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004DB6"/>
    <w:multiLevelType w:val="multilevel"/>
    <w:tmpl w:val="1276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BA083F"/>
    <w:multiLevelType w:val="hybridMultilevel"/>
    <w:tmpl w:val="7840B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4560E"/>
    <w:multiLevelType w:val="hybridMultilevel"/>
    <w:tmpl w:val="324C01C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AE7ECE"/>
    <w:multiLevelType w:val="hybridMultilevel"/>
    <w:tmpl w:val="45089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64701"/>
    <w:multiLevelType w:val="multilevel"/>
    <w:tmpl w:val="6AB4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F23821"/>
    <w:multiLevelType w:val="hybridMultilevel"/>
    <w:tmpl w:val="4186FEBC"/>
    <w:lvl w:ilvl="0" w:tplc="9272A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B10198"/>
    <w:multiLevelType w:val="hybridMultilevel"/>
    <w:tmpl w:val="59F464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63680F"/>
    <w:multiLevelType w:val="multilevel"/>
    <w:tmpl w:val="97DE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A3133F"/>
    <w:multiLevelType w:val="multilevel"/>
    <w:tmpl w:val="FB6C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12"/>
  </w:num>
  <w:num w:numId="4">
    <w:abstractNumId w:val="11"/>
  </w:num>
  <w:num w:numId="5">
    <w:abstractNumId w:val="4"/>
  </w:num>
  <w:num w:numId="6">
    <w:abstractNumId w:val="15"/>
  </w:num>
  <w:num w:numId="7">
    <w:abstractNumId w:val="2"/>
  </w:num>
  <w:num w:numId="8">
    <w:abstractNumId w:val="8"/>
  </w:num>
  <w:num w:numId="9">
    <w:abstractNumId w:val="13"/>
  </w:num>
  <w:num w:numId="10">
    <w:abstractNumId w:val="5"/>
  </w:num>
  <w:num w:numId="11">
    <w:abstractNumId w:val="1"/>
  </w:num>
  <w:num w:numId="12">
    <w:abstractNumId w:val="14"/>
  </w:num>
  <w:num w:numId="13">
    <w:abstractNumId w:val="10"/>
  </w:num>
  <w:num w:numId="14">
    <w:abstractNumId w:val="17"/>
  </w:num>
  <w:num w:numId="15">
    <w:abstractNumId w:val="18"/>
  </w:num>
  <w:num w:numId="16">
    <w:abstractNumId w:val="6"/>
  </w:num>
  <w:num w:numId="17">
    <w:abstractNumId w:val="9"/>
  </w:num>
  <w:num w:numId="18">
    <w:abstractNumId w:val="0"/>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A5"/>
    <w:rsid w:val="0000025A"/>
    <w:rsid w:val="000018AA"/>
    <w:rsid w:val="0000403F"/>
    <w:rsid w:val="000051A1"/>
    <w:rsid w:val="00007243"/>
    <w:rsid w:val="00007AC6"/>
    <w:rsid w:val="0001083A"/>
    <w:rsid w:val="000119A8"/>
    <w:rsid w:val="00012602"/>
    <w:rsid w:val="000134EC"/>
    <w:rsid w:val="00014546"/>
    <w:rsid w:val="00015CBC"/>
    <w:rsid w:val="00017329"/>
    <w:rsid w:val="000200BD"/>
    <w:rsid w:val="00022CAA"/>
    <w:rsid w:val="000231B1"/>
    <w:rsid w:val="000241DA"/>
    <w:rsid w:val="0002488C"/>
    <w:rsid w:val="000261D6"/>
    <w:rsid w:val="000269C9"/>
    <w:rsid w:val="000306FB"/>
    <w:rsid w:val="00035933"/>
    <w:rsid w:val="000368AE"/>
    <w:rsid w:val="00043A64"/>
    <w:rsid w:val="00044567"/>
    <w:rsid w:val="00044F14"/>
    <w:rsid w:val="00050669"/>
    <w:rsid w:val="00050805"/>
    <w:rsid w:val="00051932"/>
    <w:rsid w:val="00052692"/>
    <w:rsid w:val="00052979"/>
    <w:rsid w:val="00056EE1"/>
    <w:rsid w:val="00060A52"/>
    <w:rsid w:val="000616CD"/>
    <w:rsid w:val="00063004"/>
    <w:rsid w:val="00064495"/>
    <w:rsid w:val="00064E63"/>
    <w:rsid w:val="00065535"/>
    <w:rsid w:val="00066C6D"/>
    <w:rsid w:val="00066E0C"/>
    <w:rsid w:val="00070741"/>
    <w:rsid w:val="00070BF3"/>
    <w:rsid w:val="00071C38"/>
    <w:rsid w:val="0007469A"/>
    <w:rsid w:val="00074885"/>
    <w:rsid w:val="00074BBD"/>
    <w:rsid w:val="00074E26"/>
    <w:rsid w:val="00074F2B"/>
    <w:rsid w:val="000904CB"/>
    <w:rsid w:val="000919C9"/>
    <w:rsid w:val="0009239B"/>
    <w:rsid w:val="00093FDE"/>
    <w:rsid w:val="0009581C"/>
    <w:rsid w:val="000A136D"/>
    <w:rsid w:val="000A282B"/>
    <w:rsid w:val="000A426E"/>
    <w:rsid w:val="000A4945"/>
    <w:rsid w:val="000A6FC5"/>
    <w:rsid w:val="000A74AB"/>
    <w:rsid w:val="000A76A2"/>
    <w:rsid w:val="000B0B65"/>
    <w:rsid w:val="000B388C"/>
    <w:rsid w:val="000B4577"/>
    <w:rsid w:val="000B548B"/>
    <w:rsid w:val="000B551B"/>
    <w:rsid w:val="000C0997"/>
    <w:rsid w:val="000C4434"/>
    <w:rsid w:val="000C4453"/>
    <w:rsid w:val="000C48DD"/>
    <w:rsid w:val="000C6CEA"/>
    <w:rsid w:val="000C783A"/>
    <w:rsid w:val="000C79AC"/>
    <w:rsid w:val="000D0767"/>
    <w:rsid w:val="000D0A39"/>
    <w:rsid w:val="000D0CAB"/>
    <w:rsid w:val="000D1593"/>
    <w:rsid w:val="000D15C2"/>
    <w:rsid w:val="000D2B41"/>
    <w:rsid w:val="000E0966"/>
    <w:rsid w:val="000E51AE"/>
    <w:rsid w:val="000E73BB"/>
    <w:rsid w:val="000E7CC6"/>
    <w:rsid w:val="000F044A"/>
    <w:rsid w:val="000F16FC"/>
    <w:rsid w:val="000F18F2"/>
    <w:rsid w:val="000F25D9"/>
    <w:rsid w:val="000F25F6"/>
    <w:rsid w:val="000F318E"/>
    <w:rsid w:val="000F3DC9"/>
    <w:rsid w:val="000F68A6"/>
    <w:rsid w:val="000F69A8"/>
    <w:rsid w:val="000F6CD8"/>
    <w:rsid w:val="000F73FF"/>
    <w:rsid w:val="00100CEF"/>
    <w:rsid w:val="00101061"/>
    <w:rsid w:val="00103B68"/>
    <w:rsid w:val="001050FD"/>
    <w:rsid w:val="00105369"/>
    <w:rsid w:val="00106C12"/>
    <w:rsid w:val="00106D41"/>
    <w:rsid w:val="001114F5"/>
    <w:rsid w:val="00115F0D"/>
    <w:rsid w:val="00123BB8"/>
    <w:rsid w:val="00125A34"/>
    <w:rsid w:val="001266C3"/>
    <w:rsid w:val="00126E1C"/>
    <w:rsid w:val="00131094"/>
    <w:rsid w:val="0013167F"/>
    <w:rsid w:val="001321B1"/>
    <w:rsid w:val="001379DB"/>
    <w:rsid w:val="00137C06"/>
    <w:rsid w:val="00140A3F"/>
    <w:rsid w:val="00140AA3"/>
    <w:rsid w:val="0014235A"/>
    <w:rsid w:val="0014734B"/>
    <w:rsid w:val="00147F55"/>
    <w:rsid w:val="00150254"/>
    <w:rsid w:val="00151DA4"/>
    <w:rsid w:val="00155BEB"/>
    <w:rsid w:val="0016586F"/>
    <w:rsid w:val="0016665F"/>
    <w:rsid w:val="001675DC"/>
    <w:rsid w:val="00172285"/>
    <w:rsid w:val="00172D5E"/>
    <w:rsid w:val="00173D24"/>
    <w:rsid w:val="0017502F"/>
    <w:rsid w:val="00176C03"/>
    <w:rsid w:val="001771FC"/>
    <w:rsid w:val="001807C4"/>
    <w:rsid w:val="00181539"/>
    <w:rsid w:val="001836F8"/>
    <w:rsid w:val="001845CF"/>
    <w:rsid w:val="00184C9B"/>
    <w:rsid w:val="00192445"/>
    <w:rsid w:val="001950D3"/>
    <w:rsid w:val="00196AE8"/>
    <w:rsid w:val="001A0E61"/>
    <w:rsid w:val="001A17DA"/>
    <w:rsid w:val="001A3FC9"/>
    <w:rsid w:val="001A52C9"/>
    <w:rsid w:val="001A59E5"/>
    <w:rsid w:val="001B10A5"/>
    <w:rsid w:val="001B20D1"/>
    <w:rsid w:val="001B2CF2"/>
    <w:rsid w:val="001B4195"/>
    <w:rsid w:val="001B52C6"/>
    <w:rsid w:val="001B5465"/>
    <w:rsid w:val="001B60A9"/>
    <w:rsid w:val="001B631C"/>
    <w:rsid w:val="001B68B4"/>
    <w:rsid w:val="001C344F"/>
    <w:rsid w:val="001C3904"/>
    <w:rsid w:val="001C4D9B"/>
    <w:rsid w:val="001C5E06"/>
    <w:rsid w:val="001C716A"/>
    <w:rsid w:val="001C7E74"/>
    <w:rsid w:val="001D03CB"/>
    <w:rsid w:val="001D0692"/>
    <w:rsid w:val="001D1E9F"/>
    <w:rsid w:val="001D2E17"/>
    <w:rsid w:val="001D4E4E"/>
    <w:rsid w:val="001D561F"/>
    <w:rsid w:val="001D74FE"/>
    <w:rsid w:val="001E1742"/>
    <w:rsid w:val="001E5AE2"/>
    <w:rsid w:val="001E5B5D"/>
    <w:rsid w:val="001F0564"/>
    <w:rsid w:val="001F0FFF"/>
    <w:rsid w:val="001F3789"/>
    <w:rsid w:val="001F3F2E"/>
    <w:rsid w:val="001F6677"/>
    <w:rsid w:val="001F7865"/>
    <w:rsid w:val="002001F5"/>
    <w:rsid w:val="0020176C"/>
    <w:rsid w:val="00201F1E"/>
    <w:rsid w:val="002039EC"/>
    <w:rsid w:val="00204A7F"/>
    <w:rsid w:val="00212525"/>
    <w:rsid w:val="00212A1A"/>
    <w:rsid w:val="00213460"/>
    <w:rsid w:val="00214447"/>
    <w:rsid w:val="00215031"/>
    <w:rsid w:val="00215452"/>
    <w:rsid w:val="00221341"/>
    <w:rsid w:val="0023074E"/>
    <w:rsid w:val="00230F85"/>
    <w:rsid w:val="00231C53"/>
    <w:rsid w:val="00235068"/>
    <w:rsid w:val="002352DD"/>
    <w:rsid w:val="002366E3"/>
    <w:rsid w:val="0024002D"/>
    <w:rsid w:val="00243010"/>
    <w:rsid w:val="002452A6"/>
    <w:rsid w:val="0026251E"/>
    <w:rsid w:val="00262A39"/>
    <w:rsid w:val="002634BF"/>
    <w:rsid w:val="00264564"/>
    <w:rsid w:val="002645CD"/>
    <w:rsid w:val="0026578E"/>
    <w:rsid w:val="00265919"/>
    <w:rsid w:val="0026610F"/>
    <w:rsid w:val="00277167"/>
    <w:rsid w:val="00277D20"/>
    <w:rsid w:val="0028145B"/>
    <w:rsid w:val="00281724"/>
    <w:rsid w:val="00281E53"/>
    <w:rsid w:val="00286A73"/>
    <w:rsid w:val="002879A0"/>
    <w:rsid w:val="002908C0"/>
    <w:rsid w:val="0029141D"/>
    <w:rsid w:val="002923F0"/>
    <w:rsid w:val="00294FB2"/>
    <w:rsid w:val="00296000"/>
    <w:rsid w:val="00297DFF"/>
    <w:rsid w:val="00297FE0"/>
    <w:rsid w:val="002A0835"/>
    <w:rsid w:val="002A3118"/>
    <w:rsid w:val="002A34F9"/>
    <w:rsid w:val="002A3AE3"/>
    <w:rsid w:val="002A4354"/>
    <w:rsid w:val="002A66B8"/>
    <w:rsid w:val="002B14C0"/>
    <w:rsid w:val="002B1A67"/>
    <w:rsid w:val="002B3996"/>
    <w:rsid w:val="002B57A9"/>
    <w:rsid w:val="002B7542"/>
    <w:rsid w:val="002B7E7A"/>
    <w:rsid w:val="002C0987"/>
    <w:rsid w:val="002C303A"/>
    <w:rsid w:val="002C49B7"/>
    <w:rsid w:val="002C7810"/>
    <w:rsid w:val="002D27CE"/>
    <w:rsid w:val="002D5142"/>
    <w:rsid w:val="002D7810"/>
    <w:rsid w:val="002D7A3C"/>
    <w:rsid w:val="002E1C32"/>
    <w:rsid w:val="002E368F"/>
    <w:rsid w:val="002E45DA"/>
    <w:rsid w:val="002E4988"/>
    <w:rsid w:val="002E554C"/>
    <w:rsid w:val="002E6EE5"/>
    <w:rsid w:val="002F0BD0"/>
    <w:rsid w:val="002F5801"/>
    <w:rsid w:val="003008F9"/>
    <w:rsid w:val="00301AC7"/>
    <w:rsid w:val="003047CC"/>
    <w:rsid w:val="00311DC4"/>
    <w:rsid w:val="00314985"/>
    <w:rsid w:val="00314F38"/>
    <w:rsid w:val="00316C13"/>
    <w:rsid w:val="00316F5A"/>
    <w:rsid w:val="003265D9"/>
    <w:rsid w:val="00327A74"/>
    <w:rsid w:val="003304F9"/>
    <w:rsid w:val="003342C2"/>
    <w:rsid w:val="00335389"/>
    <w:rsid w:val="00342554"/>
    <w:rsid w:val="00342E9F"/>
    <w:rsid w:val="003503D3"/>
    <w:rsid w:val="0035139B"/>
    <w:rsid w:val="00351593"/>
    <w:rsid w:val="003525E8"/>
    <w:rsid w:val="00352A25"/>
    <w:rsid w:val="00352DA9"/>
    <w:rsid w:val="00361209"/>
    <w:rsid w:val="00362763"/>
    <w:rsid w:val="0036472B"/>
    <w:rsid w:val="00366A93"/>
    <w:rsid w:val="00366C91"/>
    <w:rsid w:val="00366D78"/>
    <w:rsid w:val="00367F5A"/>
    <w:rsid w:val="00370198"/>
    <w:rsid w:val="00370983"/>
    <w:rsid w:val="00370F97"/>
    <w:rsid w:val="003724B7"/>
    <w:rsid w:val="00372905"/>
    <w:rsid w:val="003773DB"/>
    <w:rsid w:val="003778FC"/>
    <w:rsid w:val="00381130"/>
    <w:rsid w:val="003818A0"/>
    <w:rsid w:val="00381AB2"/>
    <w:rsid w:val="00382B5D"/>
    <w:rsid w:val="00386123"/>
    <w:rsid w:val="00387DBC"/>
    <w:rsid w:val="003911EF"/>
    <w:rsid w:val="00394F3F"/>
    <w:rsid w:val="00394FD6"/>
    <w:rsid w:val="0039745D"/>
    <w:rsid w:val="00397669"/>
    <w:rsid w:val="003B1AFA"/>
    <w:rsid w:val="003B33D7"/>
    <w:rsid w:val="003B4B5C"/>
    <w:rsid w:val="003B4C47"/>
    <w:rsid w:val="003B4FD2"/>
    <w:rsid w:val="003B5950"/>
    <w:rsid w:val="003C0166"/>
    <w:rsid w:val="003C09CD"/>
    <w:rsid w:val="003C0EF1"/>
    <w:rsid w:val="003C2F16"/>
    <w:rsid w:val="003C2F66"/>
    <w:rsid w:val="003C7791"/>
    <w:rsid w:val="003D3A7B"/>
    <w:rsid w:val="003D4B5D"/>
    <w:rsid w:val="003D5759"/>
    <w:rsid w:val="003D5C92"/>
    <w:rsid w:val="003D6253"/>
    <w:rsid w:val="003D63C7"/>
    <w:rsid w:val="003D7401"/>
    <w:rsid w:val="003E12BB"/>
    <w:rsid w:val="003E14E2"/>
    <w:rsid w:val="003E2BF1"/>
    <w:rsid w:val="003E2EA3"/>
    <w:rsid w:val="003E4E10"/>
    <w:rsid w:val="003E75F9"/>
    <w:rsid w:val="003F071D"/>
    <w:rsid w:val="003F258C"/>
    <w:rsid w:val="003F28CD"/>
    <w:rsid w:val="003F34F9"/>
    <w:rsid w:val="003F3B7D"/>
    <w:rsid w:val="003F5A29"/>
    <w:rsid w:val="003F5D8C"/>
    <w:rsid w:val="003F67DD"/>
    <w:rsid w:val="003F7835"/>
    <w:rsid w:val="003F7985"/>
    <w:rsid w:val="003F7F00"/>
    <w:rsid w:val="004000AE"/>
    <w:rsid w:val="004012D5"/>
    <w:rsid w:val="00403368"/>
    <w:rsid w:val="004047CD"/>
    <w:rsid w:val="00406149"/>
    <w:rsid w:val="00407B7D"/>
    <w:rsid w:val="004101E7"/>
    <w:rsid w:val="00410ECB"/>
    <w:rsid w:val="004116AC"/>
    <w:rsid w:val="0042076B"/>
    <w:rsid w:val="00420C3C"/>
    <w:rsid w:val="00423B5D"/>
    <w:rsid w:val="00423CA7"/>
    <w:rsid w:val="004259CC"/>
    <w:rsid w:val="00425DE2"/>
    <w:rsid w:val="00430765"/>
    <w:rsid w:val="0043123D"/>
    <w:rsid w:val="00431360"/>
    <w:rsid w:val="004324D7"/>
    <w:rsid w:val="00436AA6"/>
    <w:rsid w:val="004450FE"/>
    <w:rsid w:val="004515FA"/>
    <w:rsid w:val="00452338"/>
    <w:rsid w:val="00452847"/>
    <w:rsid w:val="00452D6C"/>
    <w:rsid w:val="004545BD"/>
    <w:rsid w:val="00455BBA"/>
    <w:rsid w:val="004568DF"/>
    <w:rsid w:val="00456C63"/>
    <w:rsid w:val="00457453"/>
    <w:rsid w:val="00460A61"/>
    <w:rsid w:val="00462046"/>
    <w:rsid w:val="00462889"/>
    <w:rsid w:val="00465B79"/>
    <w:rsid w:val="004677F4"/>
    <w:rsid w:val="00467DD8"/>
    <w:rsid w:val="0047141E"/>
    <w:rsid w:val="00475680"/>
    <w:rsid w:val="0047620D"/>
    <w:rsid w:val="00476336"/>
    <w:rsid w:val="004779F3"/>
    <w:rsid w:val="00482D6F"/>
    <w:rsid w:val="00483789"/>
    <w:rsid w:val="00484029"/>
    <w:rsid w:val="004857AC"/>
    <w:rsid w:val="00485C8B"/>
    <w:rsid w:val="0049057D"/>
    <w:rsid w:val="00491B71"/>
    <w:rsid w:val="004925F1"/>
    <w:rsid w:val="00492868"/>
    <w:rsid w:val="0049681E"/>
    <w:rsid w:val="004A1560"/>
    <w:rsid w:val="004A214F"/>
    <w:rsid w:val="004A5330"/>
    <w:rsid w:val="004A7D26"/>
    <w:rsid w:val="004A7DF4"/>
    <w:rsid w:val="004A7FB5"/>
    <w:rsid w:val="004B08FD"/>
    <w:rsid w:val="004B1C99"/>
    <w:rsid w:val="004B27B8"/>
    <w:rsid w:val="004B3455"/>
    <w:rsid w:val="004B4BFF"/>
    <w:rsid w:val="004B6654"/>
    <w:rsid w:val="004B7266"/>
    <w:rsid w:val="004B745A"/>
    <w:rsid w:val="004B7E36"/>
    <w:rsid w:val="004B7F3D"/>
    <w:rsid w:val="004C013E"/>
    <w:rsid w:val="004C0A0E"/>
    <w:rsid w:val="004C13F3"/>
    <w:rsid w:val="004C6C85"/>
    <w:rsid w:val="004C6E61"/>
    <w:rsid w:val="004C72E4"/>
    <w:rsid w:val="004C7AE4"/>
    <w:rsid w:val="004D2579"/>
    <w:rsid w:val="004D7975"/>
    <w:rsid w:val="004E0CC7"/>
    <w:rsid w:val="004E1CC7"/>
    <w:rsid w:val="004E6E19"/>
    <w:rsid w:val="004E6F3E"/>
    <w:rsid w:val="004E7F10"/>
    <w:rsid w:val="004F0919"/>
    <w:rsid w:val="004F1031"/>
    <w:rsid w:val="004F24CA"/>
    <w:rsid w:val="004F2860"/>
    <w:rsid w:val="004F3369"/>
    <w:rsid w:val="004F44BE"/>
    <w:rsid w:val="004F4C26"/>
    <w:rsid w:val="004F63D1"/>
    <w:rsid w:val="004F6BA6"/>
    <w:rsid w:val="004F7926"/>
    <w:rsid w:val="005023D0"/>
    <w:rsid w:val="00503413"/>
    <w:rsid w:val="00504945"/>
    <w:rsid w:val="00504C15"/>
    <w:rsid w:val="005058FE"/>
    <w:rsid w:val="00505AE2"/>
    <w:rsid w:val="00506FBB"/>
    <w:rsid w:val="00507238"/>
    <w:rsid w:val="00507F7D"/>
    <w:rsid w:val="005116B6"/>
    <w:rsid w:val="00511AD7"/>
    <w:rsid w:val="00512BF6"/>
    <w:rsid w:val="0051357E"/>
    <w:rsid w:val="005150A6"/>
    <w:rsid w:val="00517694"/>
    <w:rsid w:val="00520861"/>
    <w:rsid w:val="00520875"/>
    <w:rsid w:val="0052130C"/>
    <w:rsid w:val="005237FC"/>
    <w:rsid w:val="00524423"/>
    <w:rsid w:val="00524CC2"/>
    <w:rsid w:val="00527A71"/>
    <w:rsid w:val="00531B36"/>
    <w:rsid w:val="00531E7A"/>
    <w:rsid w:val="0053259B"/>
    <w:rsid w:val="005343F7"/>
    <w:rsid w:val="00534AA8"/>
    <w:rsid w:val="00535673"/>
    <w:rsid w:val="00537B3E"/>
    <w:rsid w:val="00541618"/>
    <w:rsid w:val="0054215B"/>
    <w:rsid w:val="00542F72"/>
    <w:rsid w:val="00543EDA"/>
    <w:rsid w:val="005470F4"/>
    <w:rsid w:val="00547C68"/>
    <w:rsid w:val="005512F9"/>
    <w:rsid w:val="00552BD8"/>
    <w:rsid w:val="00552F05"/>
    <w:rsid w:val="005628D0"/>
    <w:rsid w:val="00562901"/>
    <w:rsid w:val="00563D27"/>
    <w:rsid w:val="0056426B"/>
    <w:rsid w:val="00564470"/>
    <w:rsid w:val="0056597E"/>
    <w:rsid w:val="00565FE2"/>
    <w:rsid w:val="00570E27"/>
    <w:rsid w:val="0057546D"/>
    <w:rsid w:val="005759BD"/>
    <w:rsid w:val="00575F6D"/>
    <w:rsid w:val="005808B3"/>
    <w:rsid w:val="0058116B"/>
    <w:rsid w:val="005862F9"/>
    <w:rsid w:val="0058646C"/>
    <w:rsid w:val="005911B6"/>
    <w:rsid w:val="005925E6"/>
    <w:rsid w:val="005A153D"/>
    <w:rsid w:val="005A224D"/>
    <w:rsid w:val="005A57E6"/>
    <w:rsid w:val="005A60D9"/>
    <w:rsid w:val="005A6744"/>
    <w:rsid w:val="005A6E20"/>
    <w:rsid w:val="005A7B21"/>
    <w:rsid w:val="005B010D"/>
    <w:rsid w:val="005B1078"/>
    <w:rsid w:val="005B1828"/>
    <w:rsid w:val="005B1953"/>
    <w:rsid w:val="005B44AD"/>
    <w:rsid w:val="005C2672"/>
    <w:rsid w:val="005C28B1"/>
    <w:rsid w:val="005C2B71"/>
    <w:rsid w:val="005C2E3B"/>
    <w:rsid w:val="005C7464"/>
    <w:rsid w:val="005D0A9D"/>
    <w:rsid w:val="005D2E70"/>
    <w:rsid w:val="005D3796"/>
    <w:rsid w:val="005D5319"/>
    <w:rsid w:val="005D6446"/>
    <w:rsid w:val="005E0436"/>
    <w:rsid w:val="005E24BC"/>
    <w:rsid w:val="005E3256"/>
    <w:rsid w:val="005E7208"/>
    <w:rsid w:val="005F0129"/>
    <w:rsid w:val="005F72A1"/>
    <w:rsid w:val="00600F12"/>
    <w:rsid w:val="00601CEF"/>
    <w:rsid w:val="0060324B"/>
    <w:rsid w:val="00603BEB"/>
    <w:rsid w:val="00603C0F"/>
    <w:rsid w:val="00604236"/>
    <w:rsid w:val="0060678C"/>
    <w:rsid w:val="006076E6"/>
    <w:rsid w:val="00610E3A"/>
    <w:rsid w:val="0061336E"/>
    <w:rsid w:val="00613E69"/>
    <w:rsid w:val="0061625D"/>
    <w:rsid w:val="00625FFA"/>
    <w:rsid w:val="006263A2"/>
    <w:rsid w:val="00632642"/>
    <w:rsid w:val="00632E0D"/>
    <w:rsid w:val="0063303A"/>
    <w:rsid w:val="0063357D"/>
    <w:rsid w:val="00634914"/>
    <w:rsid w:val="00634D22"/>
    <w:rsid w:val="006360CE"/>
    <w:rsid w:val="00636218"/>
    <w:rsid w:val="006371C0"/>
    <w:rsid w:val="006375EF"/>
    <w:rsid w:val="0064567E"/>
    <w:rsid w:val="00650E4E"/>
    <w:rsid w:val="006531DA"/>
    <w:rsid w:val="006576D6"/>
    <w:rsid w:val="00664428"/>
    <w:rsid w:val="006676C9"/>
    <w:rsid w:val="0067019D"/>
    <w:rsid w:val="006874C7"/>
    <w:rsid w:val="00687998"/>
    <w:rsid w:val="00691E3B"/>
    <w:rsid w:val="00693CA5"/>
    <w:rsid w:val="0069581C"/>
    <w:rsid w:val="00695BD6"/>
    <w:rsid w:val="006966EF"/>
    <w:rsid w:val="006969A0"/>
    <w:rsid w:val="006A2298"/>
    <w:rsid w:val="006A421A"/>
    <w:rsid w:val="006A7D48"/>
    <w:rsid w:val="006B1A2C"/>
    <w:rsid w:val="006B6472"/>
    <w:rsid w:val="006B764C"/>
    <w:rsid w:val="006C0EC9"/>
    <w:rsid w:val="006C4619"/>
    <w:rsid w:val="006C7A18"/>
    <w:rsid w:val="006C7AF9"/>
    <w:rsid w:val="006D005C"/>
    <w:rsid w:val="006D04B3"/>
    <w:rsid w:val="006D05FF"/>
    <w:rsid w:val="006D0F01"/>
    <w:rsid w:val="006D1B8C"/>
    <w:rsid w:val="006D261C"/>
    <w:rsid w:val="006D2F19"/>
    <w:rsid w:val="006D532E"/>
    <w:rsid w:val="006D77D8"/>
    <w:rsid w:val="006D7E64"/>
    <w:rsid w:val="006E0C04"/>
    <w:rsid w:val="006E7668"/>
    <w:rsid w:val="006F36A6"/>
    <w:rsid w:val="006F4496"/>
    <w:rsid w:val="006F6ACC"/>
    <w:rsid w:val="006F7109"/>
    <w:rsid w:val="007001C6"/>
    <w:rsid w:val="00702EF4"/>
    <w:rsid w:val="00702F14"/>
    <w:rsid w:val="00705562"/>
    <w:rsid w:val="00705D46"/>
    <w:rsid w:val="00706077"/>
    <w:rsid w:val="00712422"/>
    <w:rsid w:val="0071660B"/>
    <w:rsid w:val="007170BB"/>
    <w:rsid w:val="00720F97"/>
    <w:rsid w:val="00723CF3"/>
    <w:rsid w:val="00724D93"/>
    <w:rsid w:val="0072537A"/>
    <w:rsid w:val="00726656"/>
    <w:rsid w:val="0073100C"/>
    <w:rsid w:val="00731902"/>
    <w:rsid w:val="00733C6F"/>
    <w:rsid w:val="0073479B"/>
    <w:rsid w:val="00735CE3"/>
    <w:rsid w:val="00744196"/>
    <w:rsid w:val="007502F2"/>
    <w:rsid w:val="00750384"/>
    <w:rsid w:val="00750589"/>
    <w:rsid w:val="0075097A"/>
    <w:rsid w:val="00752508"/>
    <w:rsid w:val="00753374"/>
    <w:rsid w:val="007541E0"/>
    <w:rsid w:val="00754F1A"/>
    <w:rsid w:val="00761501"/>
    <w:rsid w:val="007620D1"/>
    <w:rsid w:val="0076234B"/>
    <w:rsid w:val="00763762"/>
    <w:rsid w:val="00764C1B"/>
    <w:rsid w:val="00765925"/>
    <w:rsid w:val="007702A3"/>
    <w:rsid w:val="00773CC4"/>
    <w:rsid w:val="0077445E"/>
    <w:rsid w:val="00775219"/>
    <w:rsid w:val="00777F21"/>
    <w:rsid w:val="00784B9B"/>
    <w:rsid w:val="00787461"/>
    <w:rsid w:val="0079219F"/>
    <w:rsid w:val="0079399D"/>
    <w:rsid w:val="00793E2D"/>
    <w:rsid w:val="0079762A"/>
    <w:rsid w:val="00797F94"/>
    <w:rsid w:val="007A28F4"/>
    <w:rsid w:val="007A312D"/>
    <w:rsid w:val="007A47CC"/>
    <w:rsid w:val="007A5BB5"/>
    <w:rsid w:val="007A5BD5"/>
    <w:rsid w:val="007B3131"/>
    <w:rsid w:val="007B409A"/>
    <w:rsid w:val="007B5B52"/>
    <w:rsid w:val="007B6A79"/>
    <w:rsid w:val="007C2DCA"/>
    <w:rsid w:val="007C3116"/>
    <w:rsid w:val="007C3AF7"/>
    <w:rsid w:val="007D1186"/>
    <w:rsid w:val="007D2676"/>
    <w:rsid w:val="007D2BED"/>
    <w:rsid w:val="007D4569"/>
    <w:rsid w:val="007D6688"/>
    <w:rsid w:val="007D6825"/>
    <w:rsid w:val="007E0F50"/>
    <w:rsid w:val="007E22F9"/>
    <w:rsid w:val="007E24A8"/>
    <w:rsid w:val="007E42A5"/>
    <w:rsid w:val="007E7216"/>
    <w:rsid w:val="007F1A4C"/>
    <w:rsid w:val="007F1B30"/>
    <w:rsid w:val="007F22C7"/>
    <w:rsid w:val="007F340D"/>
    <w:rsid w:val="007F59C3"/>
    <w:rsid w:val="007F5F32"/>
    <w:rsid w:val="007F6D7F"/>
    <w:rsid w:val="008028E1"/>
    <w:rsid w:val="00802A8C"/>
    <w:rsid w:val="00802AB8"/>
    <w:rsid w:val="008067C5"/>
    <w:rsid w:val="00807AE2"/>
    <w:rsid w:val="00811BAD"/>
    <w:rsid w:val="00813820"/>
    <w:rsid w:val="00817A47"/>
    <w:rsid w:val="00817B7D"/>
    <w:rsid w:val="00817C9E"/>
    <w:rsid w:val="00824115"/>
    <w:rsid w:val="008273E2"/>
    <w:rsid w:val="00831E94"/>
    <w:rsid w:val="00832207"/>
    <w:rsid w:val="00834E3F"/>
    <w:rsid w:val="00835B32"/>
    <w:rsid w:val="008362DF"/>
    <w:rsid w:val="00836DAB"/>
    <w:rsid w:val="008377FD"/>
    <w:rsid w:val="0084043C"/>
    <w:rsid w:val="0084246F"/>
    <w:rsid w:val="0084274E"/>
    <w:rsid w:val="008448F5"/>
    <w:rsid w:val="00845437"/>
    <w:rsid w:val="008465E7"/>
    <w:rsid w:val="00846B0C"/>
    <w:rsid w:val="00847845"/>
    <w:rsid w:val="0085161C"/>
    <w:rsid w:val="00854D8A"/>
    <w:rsid w:val="0086562A"/>
    <w:rsid w:val="0086619B"/>
    <w:rsid w:val="00867194"/>
    <w:rsid w:val="00867D6F"/>
    <w:rsid w:val="00870EE4"/>
    <w:rsid w:val="00873BCE"/>
    <w:rsid w:val="0087412E"/>
    <w:rsid w:val="00874E3E"/>
    <w:rsid w:val="00876D07"/>
    <w:rsid w:val="00881B45"/>
    <w:rsid w:val="00882411"/>
    <w:rsid w:val="008837ED"/>
    <w:rsid w:val="00884F92"/>
    <w:rsid w:val="00886745"/>
    <w:rsid w:val="00890C26"/>
    <w:rsid w:val="0089270D"/>
    <w:rsid w:val="0089536F"/>
    <w:rsid w:val="008A2316"/>
    <w:rsid w:val="008A38D7"/>
    <w:rsid w:val="008A3A11"/>
    <w:rsid w:val="008A4F0A"/>
    <w:rsid w:val="008A6781"/>
    <w:rsid w:val="008B1FA5"/>
    <w:rsid w:val="008B2FF2"/>
    <w:rsid w:val="008B38B0"/>
    <w:rsid w:val="008B4149"/>
    <w:rsid w:val="008B7604"/>
    <w:rsid w:val="008C0494"/>
    <w:rsid w:val="008C167A"/>
    <w:rsid w:val="008C3C89"/>
    <w:rsid w:val="008C4714"/>
    <w:rsid w:val="008C7D2F"/>
    <w:rsid w:val="008D270D"/>
    <w:rsid w:val="008D30A0"/>
    <w:rsid w:val="008D31A4"/>
    <w:rsid w:val="008D74E1"/>
    <w:rsid w:val="008E0879"/>
    <w:rsid w:val="008E1658"/>
    <w:rsid w:val="008E2D7A"/>
    <w:rsid w:val="008E3E29"/>
    <w:rsid w:val="008E75BD"/>
    <w:rsid w:val="008F5739"/>
    <w:rsid w:val="0090196E"/>
    <w:rsid w:val="00905864"/>
    <w:rsid w:val="009073AE"/>
    <w:rsid w:val="00911E39"/>
    <w:rsid w:val="009124D8"/>
    <w:rsid w:val="009137B6"/>
    <w:rsid w:val="00916B38"/>
    <w:rsid w:val="009172F2"/>
    <w:rsid w:val="00920CA4"/>
    <w:rsid w:val="00921F4C"/>
    <w:rsid w:val="009262D5"/>
    <w:rsid w:val="00926D40"/>
    <w:rsid w:val="00927B35"/>
    <w:rsid w:val="0093093A"/>
    <w:rsid w:val="00931644"/>
    <w:rsid w:val="009320F9"/>
    <w:rsid w:val="00932C2E"/>
    <w:rsid w:val="0093360D"/>
    <w:rsid w:val="00935027"/>
    <w:rsid w:val="009374EC"/>
    <w:rsid w:val="0093752A"/>
    <w:rsid w:val="00940F9A"/>
    <w:rsid w:val="00941907"/>
    <w:rsid w:val="00944261"/>
    <w:rsid w:val="009462B8"/>
    <w:rsid w:val="00946D08"/>
    <w:rsid w:val="00951643"/>
    <w:rsid w:val="009525CF"/>
    <w:rsid w:val="009528F5"/>
    <w:rsid w:val="00952923"/>
    <w:rsid w:val="009539EF"/>
    <w:rsid w:val="009542A6"/>
    <w:rsid w:val="0095488F"/>
    <w:rsid w:val="00955502"/>
    <w:rsid w:val="00957D4A"/>
    <w:rsid w:val="00961DD1"/>
    <w:rsid w:val="00963329"/>
    <w:rsid w:val="00964EE6"/>
    <w:rsid w:val="0096566B"/>
    <w:rsid w:val="009666DA"/>
    <w:rsid w:val="00967304"/>
    <w:rsid w:val="00970620"/>
    <w:rsid w:val="00972653"/>
    <w:rsid w:val="00972BD8"/>
    <w:rsid w:val="00974EEA"/>
    <w:rsid w:val="00975451"/>
    <w:rsid w:val="00976C7E"/>
    <w:rsid w:val="0097716A"/>
    <w:rsid w:val="00977228"/>
    <w:rsid w:val="00977371"/>
    <w:rsid w:val="009777F5"/>
    <w:rsid w:val="0098030C"/>
    <w:rsid w:val="0098047B"/>
    <w:rsid w:val="0098412C"/>
    <w:rsid w:val="009863F5"/>
    <w:rsid w:val="00987B7D"/>
    <w:rsid w:val="00991B3C"/>
    <w:rsid w:val="009923CE"/>
    <w:rsid w:val="00995009"/>
    <w:rsid w:val="0099529A"/>
    <w:rsid w:val="00997871"/>
    <w:rsid w:val="009A0A31"/>
    <w:rsid w:val="009A19E2"/>
    <w:rsid w:val="009A27F4"/>
    <w:rsid w:val="009A450A"/>
    <w:rsid w:val="009A4B38"/>
    <w:rsid w:val="009B396F"/>
    <w:rsid w:val="009B410A"/>
    <w:rsid w:val="009B5F89"/>
    <w:rsid w:val="009B640B"/>
    <w:rsid w:val="009B6845"/>
    <w:rsid w:val="009B6994"/>
    <w:rsid w:val="009C31FD"/>
    <w:rsid w:val="009D1028"/>
    <w:rsid w:val="009D3FB0"/>
    <w:rsid w:val="009D6041"/>
    <w:rsid w:val="009D66FF"/>
    <w:rsid w:val="009D77BF"/>
    <w:rsid w:val="009E0E3D"/>
    <w:rsid w:val="009E1A69"/>
    <w:rsid w:val="009E3A29"/>
    <w:rsid w:val="009E4BB5"/>
    <w:rsid w:val="009E5765"/>
    <w:rsid w:val="009E680E"/>
    <w:rsid w:val="009E7F8E"/>
    <w:rsid w:val="009F29C8"/>
    <w:rsid w:val="009F2A65"/>
    <w:rsid w:val="009F6DCF"/>
    <w:rsid w:val="00A00010"/>
    <w:rsid w:val="00A02CDF"/>
    <w:rsid w:val="00A04370"/>
    <w:rsid w:val="00A05175"/>
    <w:rsid w:val="00A05A18"/>
    <w:rsid w:val="00A11506"/>
    <w:rsid w:val="00A12311"/>
    <w:rsid w:val="00A124A3"/>
    <w:rsid w:val="00A128F8"/>
    <w:rsid w:val="00A1302E"/>
    <w:rsid w:val="00A1492B"/>
    <w:rsid w:val="00A15F00"/>
    <w:rsid w:val="00A17810"/>
    <w:rsid w:val="00A212CB"/>
    <w:rsid w:val="00A24FAF"/>
    <w:rsid w:val="00A25C78"/>
    <w:rsid w:val="00A279DB"/>
    <w:rsid w:val="00A27F22"/>
    <w:rsid w:val="00A31024"/>
    <w:rsid w:val="00A31998"/>
    <w:rsid w:val="00A34D9A"/>
    <w:rsid w:val="00A41FFD"/>
    <w:rsid w:val="00A42A6B"/>
    <w:rsid w:val="00A4510A"/>
    <w:rsid w:val="00A457D7"/>
    <w:rsid w:val="00A519D0"/>
    <w:rsid w:val="00A519FF"/>
    <w:rsid w:val="00A55398"/>
    <w:rsid w:val="00A5633F"/>
    <w:rsid w:val="00A56EAA"/>
    <w:rsid w:val="00A6051D"/>
    <w:rsid w:val="00A62143"/>
    <w:rsid w:val="00A6357A"/>
    <w:rsid w:val="00A63812"/>
    <w:rsid w:val="00A64C7B"/>
    <w:rsid w:val="00A6619B"/>
    <w:rsid w:val="00A66E81"/>
    <w:rsid w:val="00A7398B"/>
    <w:rsid w:val="00A73D2C"/>
    <w:rsid w:val="00A743B1"/>
    <w:rsid w:val="00A745D0"/>
    <w:rsid w:val="00A779FB"/>
    <w:rsid w:val="00A77D5F"/>
    <w:rsid w:val="00A80A13"/>
    <w:rsid w:val="00A80BD1"/>
    <w:rsid w:val="00A81DC7"/>
    <w:rsid w:val="00A8266D"/>
    <w:rsid w:val="00A82E81"/>
    <w:rsid w:val="00A866AD"/>
    <w:rsid w:val="00A87D80"/>
    <w:rsid w:val="00A92AC2"/>
    <w:rsid w:val="00A93CAE"/>
    <w:rsid w:val="00A93F09"/>
    <w:rsid w:val="00A94717"/>
    <w:rsid w:val="00A94D4D"/>
    <w:rsid w:val="00A97D63"/>
    <w:rsid w:val="00AA0B01"/>
    <w:rsid w:val="00AA0E2F"/>
    <w:rsid w:val="00AB000E"/>
    <w:rsid w:val="00AB046D"/>
    <w:rsid w:val="00AB0965"/>
    <w:rsid w:val="00AB0CC9"/>
    <w:rsid w:val="00AB0E41"/>
    <w:rsid w:val="00AB2AAA"/>
    <w:rsid w:val="00AB388A"/>
    <w:rsid w:val="00AB420F"/>
    <w:rsid w:val="00AB52B6"/>
    <w:rsid w:val="00AB6A88"/>
    <w:rsid w:val="00AB75E0"/>
    <w:rsid w:val="00AC177F"/>
    <w:rsid w:val="00AC1B04"/>
    <w:rsid w:val="00AC3609"/>
    <w:rsid w:val="00AC36A5"/>
    <w:rsid w:val="00AC571F"/>
    <w:rsid w:val="00AC760B"/>
    <w:rsid w:val="00AD14B9"/>
    <w:rsid w:val="00AD2EBB"/>
    <w:rsid w:val="00AD798F"/>
    <w:rsid w:val="00AE0D05"/>
    <w:rsid w:val="00AE1165"/>
    <w:rsid w:val="00AE1FF0"/>
    <w:rsid w:val="00AE3945"/>
    <w:rsid w:val="00AE3EDA"/>
    <w:rsid w:val="00AF2E2C"/>
    <w:rsid w:val="00AF2F3E"/>
    <w:rsid w:val="00AF578D"/>
    <w:rsid w:val="00AF5842"/>
    <w:rsid w:val="00AF587B"/>
    <w:rsid w:val="00B02620"/>
    <w:rsid w:val="00B04C68"/>
    <w:rsid w:val="00B064E4"/>
    <w:rsid w:val="00B07099"/>
    <w:rsid w:val="00B14D69"/>
    <w:rsid w:val="00B217D7"/>
    <w:rsid w:val="00B220FD"/>
    <w:rsid w:val="00B23F77"/>
    <w:rsid w:val="00B242A1"/>
    <w:rsid w:val="00B26D8C"/>
    <w:rsid w:val="00B2797B"/>
    <w:rsid w:val="00B3074D"/>
    <w:rsid w:val="00B3359D"/>
    <w:rsid w:val="00B35C49"/>
    <w:rsid w:val="00B42FE6"/>
    <w:rsid w:val="00B450E8"/>
    <w:rsid w:val="00B457C3"/>
    <w:rsid w:val="00B47A70"/>
    <w:rsid w:val="00B538E8"/>
    <w:rsid w:val="00B56AEC"/>
    <w:rsid w:val="00B62245"/>
    <w:rsid w:val="00B6417E"/>
    <w:rsid w:val="00B659A5"/>
    <w:rsid w:val="00B72D1F"/>
    <w:rsid w:val="00B75622"/>
    <w:rsid w:val="00B75C3F"/>
    <w:rsid w:val="00B805ED"/>
    <w:rsid w:val="00B80FCD"/>
    <w:rsid w:val="00B825EC"/>
    <w:rsid w:val="00B84FB7"/>
    <w:rsid w:val="00B85A48"/>
    <w:rsid w:val="00B91CE4"/>
    <w:rsid w:val="00B93257"/>
    <w:rsid w:val="00B936AD"/>
    <w:rsid w:val="00B93DC7"/>
    <w:rsid w:val="00B96A56"/>
    <w:rsid w:val="00B97528"/>
    <w:rsid w:val="00BA3852"/>
    <w:rsid w:val="00BA38DE"/>
    <w:rsid w:val="00BA3F16"/>
    <w:rsid w:val="00BA4AF0"/>
    <w:rsid w:val="00BA6C15"/>
    <w:rsid w:val="00BB43F0"/>
    <w:rsid w:val="00BB4D12"/>
    <w:rsid w:val="00BC0A89"/>
    <w:rsid w:val="00BC0B02"/>
    <w:rsid w:val="00BC17C4"/>
    <w:rsid w:val="00BC2934"/>
    <w:rsid w:val="00BC3128"/>
    <w:rsid w:val="00BC36FD"/>
    <w:rsid w:val="00BC5341"/>
    <w:rsid w:val="00BC6AAE"/>
    <w:rsid w:val="00BD2E43"/>
    <w:rsid w:val="00BE0788"/>
    <w:rsid w:val="00BE1F85"/>
    <w:rsid w:val="00BE4408"/>
    <w:rsid w:val="00BE6175"/>
    <w:rsid w:val="00BE6A3C"/>
    <w:rsid w:val="00BE7410"/>
    <w:rsid w:val="00BE7B48"/>
    <w:rsid w:val="00BF25E5"/>
    <w:rsid w:val="00BF2B44"/>
    <w:rsid w:val="00BF31BC"/>
    <w:rsid w:val="00BF3748"/>
    <w:rsid w:val="00C02AEC"/>
    <w:rsid w:val="00C02EA5"/>
    <w:rsid w:val="00C038FA"/>
    <w:rsid w:val="00C04DCD"/>
    <w:rsid w:val="00C06A99"/>
    <w:rsid w:val="00C152C1"/>
    <w:rsid w:val="00C165E4"/>
    <w:rsid w:val="00C23548"/>
    <w:rsid w:val="00C23F60"/>
    <w:rsid w:val="00C252DF"/>
    <w:rsid w:val="00C33020"/>
    <w:rsid w:val="00C4015E"/>
    <w:rsid w:val="00C401BC"/>
    <w:rsid w:val="00C404DF"/>
    <w:rsid w:val="00C4096A"/>
    <w:rsid w:val="00C45463"/>
    <w:rsid w:val="00C50206"/>
    <w:rsid w:val="00C50EF5"/>
    <w:rsid w:val="00C52C84"/>
    <w:rsid w:val="00C52CBF"/>
    <w:rsid w:val="00C545D8"/>
    <w:rsid w:val="00C553C7"/>
    <w:rsid w:val="00C56547"/>
    <w:rsid w:val="00C57AEC"/>
    <w:rsid w:val="00C605ED"/>
    <w:rsid w:val="00C6270C"/>
    <w:rsid w:val="00C63750"/>
    <w:rsid w:val="00C65CA8"/>
    <w:rsid w:val="00C66260"/>
    <w:rsid w:val="00C67277"/>
    <w:rsid w:val="00C676FE"/>
    <w:rsid w:val="00C70036"/>
    <w:rsid w:val="00C7317C"/>
    <w:rsid w:val="00C7355E"/>
    <w:rsid w:val="00C74619"/>
    <w:rsid w:val="00C755E2"/>
    <w:rsid w:val="00C75CD2"/>
    <w:rsid w:val="00C76193"/>
    <w:rsid w:val="00C76993"/>
    <w:rsid w:val="00C81080"/>
    <w:rsid w:val="00C82A1E"/>
    <w:rsid w:val="00C83C3C"/>
    <w:rsid w:val="00C850C6"/>
    <w:rsid w:val="00C85EE4"/>
    <w:rsid w:val="00C902BF"/>
    <w:rsid w:val="00C92F20"/>
    <w:rsid w:val="00C9361A"/>
    <w:rsid w:val="00C94DF9"/>
    <w:rsid w:val="00CA2626"/>
    <w:rsid w:val="00CA3B4E"/>
    <w:rsid w:val="00CA41DE"/>
    <w:rsid w:val="00CA5FDA"/>
    <w:rsid w:val="00CA7B50"/>
    <w:rsid w:val="00CB0061"/>
    <w:rsid w:val="00CB044A"/>
    <w:rsid w:val="00CB0DBB"/>
    <w:rsid w:val="00CB1161"/>
    <w:rsid w:val="00CB4033"/>
    <w:rsid w:val="00CB4E72"/>
    <w:rsid w:val="00CB6B91"/>
    <w:rsid w:val="00CC07E2"/>
    <w:rsid w:val="00CC1E3D"/>
    <w:rsid w:val="00CC5BB9"/>
    <w:rsid w:val="00CC5F2F"/>
    <w:rsid w:val="00CD4E5B"/>
    <w:rsid w:val="00CD7517"/>
    <w:rsid w:val="00CE1EB5"/>
    <w:rsid w:val="00CE7C98"/>
    <w:rsid w:val="00CE7F79"/>
    <w:rsid w:val="00CF36FE"/>
    <w:rsid w:val="00CF3F9D"/>
    <w:rsid w:val="00CF4EDF"/>
    <w:rsid w:val="00CF61C7"/>
    <w:rsid w:val="00CF66DD"/>
    <w:rsid w:val="00D00D47"/>
    <w:rsid w:val="00D02B2F"/>
    <w:rsid w:val="00D100CA"/>
    <w:rsid w:val="00D1196F"/>
    <w:rsid w:val="00D121B8"/>
    <w:rsid w:val="00D12F93"/>
    <w:rsid w:val="00D13268"/>
    <w:rsid w:val="00D13866"/>
    <w:rsid w:val="00D13D24"/>
    <w:rsid w:val="00D14CAE"/>
    <w:rsid w:val="00D14DF1"/>
    <w:rsid w:val="00D16FD0"/>
    <w:rsid w:val="00D20604"/>
    <w:rsid w:val="00D21812"/>
    <w:rsid w:val="00D24D33"/>
    <w:rsid w:val="00D32CCE"/>
    <w:rsid w:val="00D34B45"/>
    <w:rsid w:val="00D4207F"/>
    <w:rsid w:val="00D47C38"/>
    <w:rsid w:val="00D50ACC"/>
    <w:rsid w:val="00D563E6"/>
    <w:rsid w:val="00D61E9F"/>
    <w:rsid w:val="00D63F6D"/>
    <w:rsid w:val="00D64237"/>
    <w:rsid w:val="00D644D8"/>
    <w:rsid w:val="00D64DE1"/>
    <w:rsid w:val="00D67D84"/>
    <w:rsid w:val="00D718F9"/>
    <w:rsid w:val="00D7272F"/>
    <w:rsid w:val="00D7454B"/>
    <w:rsid w:val="00D7477A"/>
    <w:rsid w:val="00D76996"/>
    <w:rsid w:val="00D76B01"/>
    <w:rsid w:val="00D81027"/>
    <w:rsid w:val="00D84398"/>
    <w:rsid w:val="00D85356"/>
    <w:rsid w:val="00D86513"/>
    <w:rsid w:val="00D869C2"/>
    <w:rsid w:val="00D87A5D"/>
    <w:rsid w:val="00D906E5"/>
    <w:rsid w:val="00D90AA3"/>
    <w:rsid w:val="00D90D6D"/>
    <w:rsid w:val="00D91FF2"/>
    <w:rsid w:val="00D93B82"/>
    <w:rsid w:val="00DA440B"/>
    <w:rsid w:val="00DA4D24"/>
    <w:rsid w:val="00DA78F0"/>
    <w:rsid w:val="00DB0302"/>
    <w:rsid w:val="00DB2566"/>
    <w:rsid w:val="00DB359F"/>
    <w:rsid w:val="00DB7199"/>
    <w:rsid w:val="00DC3F6F"/>
    <w:rsid w:val="00DC5CD7"/>
    <w:rsid w:val="00DC5D75"/>
    <w:rsid w:val="00DC641C"/>
    <w:rsid w:val="00DD033A"/>
    <w:rsid w:val="00DD0C62"/>
    <w:rsid w:val="00DD1C44"/>
    <w:rsid w:val="00DD4541"/>
    <w:rsid w:val="00DD4BF7"/>
    <w:rsid w:val="00DD66D1"/>
    <w:rsid w:val="00DE00D3"/>
    <w:rsid w:val="00DE0D77"/>
    <w:rsid w:val="00DE0F97"/>
    <w:rsid w:val="00DE1FA0"/>
    <w:rsid w:val="00DE29CC"/>
    <w:rsid w:val="00DE5EFE"/>
    <w:rsid w:val="00DE6181"/>
    <w:rsid w:val="00DE7EBF"/>
    <w:rsid w:val="00DF2A05"/>
    <w:rsid w:val="00DF4127"/>
    <w:rsid w:val="00DF6A8E"/>
    <w:rsid w:val="00E0469C"/>
    <w:rsid w:val="00E0482A"/>
    <w:rsid w:val="00E06960"/>
    <w:rsid w:val="00E11CAB"/>
    <w:rsid w:val="00E14681"/>
    <w:rsid w:val="00E14A59"/>
    <w:rsid w:val="00E16A18"/>
    <w:rsid w:val="00E20931"/>
    <w:rsid w:val="00E2304F"/>
    <w:rsid w:val="00E24D2E"/>
    <w:rsid w:val="00E256E2"/>
    <w:rsid w:val="00E259D1"/>
    <w:rsid w:val="00E27644"/>
    <w:rsid w:val="00E27BAA"/>
    <w:rsid w:val="00E31097"/>
    <w:rsid w:val="00E32610"/>
    <w:rsid w:val="00E32649"/>
    <w:rsid w:val="00E328C8"/>
    <w:rsid w:val="00E32F7C"/>
    <w:rsid w:val="00E35732"/>
    <w:rsid w:val="00E35B47"/>
    <w:rsid w:val="00E372CB"/>
    <w:rsid w:val="00E4034B"/>
    <w:rsid w:val="00E43918"/>
    <w:rsid w:val="00E43EA3"/>
    <w:rsid w:val="00E44D6F"/>
    <w:rsid w:val="00E46DBB"/>
    <w:rsid w:val="00E5325B"/>
    <w:rsid w:val="00E53C71"/>
    <w:rsid w:val="00E5532C"/>
    <w:rsid w:val="00E57596"/>
    <w:rsid w:val="00E57650"/>
    <w:rsid w:val="00E57AA8"/>
    <w:rsid w:val="00E60D98"/>
    <w:rsid w:val="00E62ADD"/>
    <w:rsid w:val="00E64FF3"/>
    <w:rsid w:val="00E65A0E"/>
    <w:rsid w:val="00E66956"/>
    <w:rsid w:val="00E71231"/>
    <w:rsid w:val="00E72D4D"/>
    <w:rsid w:val="00E72E95"/>
    <w:rsid w:val="00E75A99"/>
    <w:rsid w:val="00E807A7"/>
    <w:rsid w:val="00E80C92"/>
    <w:rsid w:val="00E81C67"/>
    <w:rsid w:val="00E91CC4"/>
    <w:rsid w:val="00E9364E"/>
    <w:rsid w:val="00E9783D"/>
    <w:rsid w:val="00EA0429"/>
    <w:rsid w:val="00EA2116"/>
    <w:rsid w:val="00EA2766"/>
    <w:rsid w:val="00EA3074"/>
    <w:rsid w:val="00EA413C"/>
    <w:rsid w:val="00EA4573"/>
    <w:rsid w:val="00EA48F4"/>
    <w:rsid w:val="00EA74DA"/>
    <w:rsid w:val="00EB110E"/>
    <w:rsid w:val="00EB555A"/>
    <w:rsid w:val="00EB605C"/>
    <w:rsid w:val="00EB6EA2"/>
    <w:rsid w:val="00EC1F6F"/>
    <w:rsid w:val="00EC2605"/>
    <w:rsid w:val="00EC291F"/>
    <w:rsid w:val="00EC2BC5"/>
    <w:rsid w:val="00EC641A"/>
    <w:rsid w:val="00EC7396"/>
    <w:rsid w:val="00ED2871"/>
    <w:rsid w:val="00ED57C5"/>
    <w:rsid w:val="00ED5AFD"/>
    <w:rsid w:val="00ED73C7"/>
    <w:rsid w:val="00EE3D2E"/>
    <w:rsid w:val="00EE5C51"/>
    <w:rsid w:val="00EE6838"/>
    <w:rsid w:val="00EE693E"/>
    <w:rsid w:val="00EF11C9"/>
    <w:rsid w:val="00EF224F"/>
    <w:rsid w:val="00EF3C8C"/>
    <w:rsid w:val="00EF4B02"/>
    <w:rsid w:val="00EF5747"/>
    <w:rsid w:val="00EF7EE5"/>
    <w:rsid w:val="00F0032E"/>
    <w:rsid w:val="00F00632"/>
    <w:rsid w:val="00F007A7"/>
    <w:rsid w:val="00F01C30"/>
    <w:rsid w:val="00F023DD"/>
    <w:rsid w:val="00F036DE"/>
    <w:rsid w:val="00F06872"/>
    <w:rsid w:val="00F068A0"/>
    <w:rsid w:val="00F07F16"/>
    <w:rsid w:val="00F1182A"/>
    <w:rsid w:val="00F11F87"/>
    <w:rsid w:val="00F12C31"/>
    <w:rsid w:val="00F1379B"/>
    <w:rsid w:val="00F14112"/>
    <w:rsid w:val="00F15704"/>
    <w:rsid w:val="00F15B1B"/>
    <w:rsid w:val="00F1667E"/>
    <w:rsid w:val="00F16A9A"/>
    <w:rsid w:val="00F16EEB"/>
    <w:rsid w:val="00F17B7C"/>
    <w:rsid w:val="00F22CEF"/>
    <w:rsid w:val="00F241AB"/>
    <w:rsid w:val="00F258E1"/>
    <w:rsid w:val="00F258EC"/>
    <w:rsid w:val="00F266AE"/>
    <w:rsid w:val="00F27054"/>
    <w:rsid w:val="00F30F79"/>
    <w:rsid w:val="00F32766"/>
    <w:rsid w:val="00F32F80"/>
    <w:rsid w:val="00F33559"/>
    <w:rsid w:val="00F35662"/>
    <w:rsid w:val="00F4002E"/>
    <w:rsid w:val="00F40940"/>
    <w:rsid w:val="00F43866"/>
    <w:rsid w:val="00F4391A"/>
    <w:rsid w:val="00F44220"/>
    <w:rsid w:val="00F45E38"/>
    <w:rsid w:val="00F45F37"/>
    <w:rsid w:val="00F52AC3"/>
    <w:rsid w:val="00F53644"/>
    <w:rsid w:val="00F538DE"/>
    <w:rsid w:val="00F549CF"/>
    <w:rsid w:val="00F54CBF"/>
    <w:rsid w:val="00F5638A"/>
    <w:rsid w:val="00F5789B"/>
    <w:rsid w:val="00F608C6"/>
    <w:rsid w:val="00F62853"/>
    <w:rsid w:val="00F6339C"/>
    <w:rsid w:val="00F64452"/>
    <w:rsid w:val="00F66BF6"/>
    <w:rsid w:val="00F67B8F"/>
    <w:rsid w:val="00F71888"/>
    <w:rsid w:val="00F726F1"/>
    <w:rsid w:val="00F74015"/>
    <w:rsid w:val="00F75DA1"/>
    <w:rsid w:val="00F835FD"/>
    <w:rsid w:val="00F8450A"/>
    <w:rsid w:val="00F86DAB"/>
    <w:rsid w:val="00F93D3F"/>
    <w:rsid w:val="00F952F3"/>
    <w:rsid w:val="00F969FD"/>
    <w:rsid w:val="00FA2420"/>
    <w:rsid w:val="00FA2B2B"/>
    <w:rsid w:val="00FA31CE"/>
    <w:rsid w:val="00FA418F"/>
    <w:rsid w:val="00FA5C8A"/>
    <w:rsid w:val="00FB5FD8"/>
    <w:rsid w:val="00FB6C87"/>
    <w:rsid w:val="00FC0234"/>
    <w:rsid w:val="00FC06AB"/>
    <w:rsid w:val="00FC3800"/>
    <w:rsid w:val="00FC6629"/>
    <w:rsid w:val="00FC6CB6"/>
    <w:rsid w:val="00FC7A89"/>
    <w:rsid w:val="00FD34B6"/>
    <w:rsid w:val="00FD5741"/>
    <w:rsid w:val="00FD641D"/>
    <w:rsid w:val="00FD7BFE"/>
    <w:rsid w:val="00FE02B0"/>
    <w:rsid w:val="00FE2791"/>
    <w:rsid w:val="00FE4D0C"/>
    <w:rsid w:val="00FE7B2D"/>
    <w:rsid w:val="00FE7CDC"/>
    <w:rsid w:val="00FF2614"/>
    <w:rsid w:val="00FF4140"/>
    <w:rsid w:val="00FF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33DBD4"/>
  <w14:defaultImageDpi w14:val="32767"/>
  <w15:docId w15:val="{C93EE193-2BE5-40A5-ACAC-8AB570CA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561F"/>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5A57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901"/>
    <w:pPr>
      <w:tabs>
        <w:tab w:val="center" w:pos="4513"/>
        <w:tab w:val="right" w:pos="9026"/>
      </w:tabs>
    </w:pPr>
  </w:style>
  <w:style w:type="character" w:customStyle="1" w:styleId="HeaderChar">
    <w:name w:val="Header Char"/>
    <w:basedOn w:val="DefaultParagraphFont"/>
    <w:link w:val="Header"/>
    <w:uiPriority w:val="99"/>
    <w:rsid w:val="00562901"/>
  </w:style>
  <w:style w:type="paragraph" w:styleId="Footer">
    <w:name w:val="footer"/>
    <w:basedOn w:val="Normal"/>
    <w:link w:val="FooterChar"/>
    <w:uiPriority w:val="99"/>
    <w:unhideWhenUsed/>
    <w:rsid w:val="00562901"/>
    <w:pPr>
      <w:tabs>
        <w:tab w:val="center" w:pos="4513"/>
        <w:tab w:val="right" w:pos="9026"/>
      </w:tabs>
    </w:pPr>
  </w:style>
  <w:style w:type="character" w:customStyle="1" w:styleId="FooterChar">
    <w:name w:val="Footer Char"/>
    <w:basedOn w:val="DefaultParagraphFont"/>
    <w:link w:val="Footer"/>
    <w:uiPriority w:val="99"/>
    <w:rsid w:val="00562901"/>
  </w:style>
  <w:style w:type="paragraph" w:styleId="FootnoteText">
    <w:name w:val="footnote text"/>
    <w:basedOn w:val="Normal"/>
    <w:link w:val="FootnoteTextChar"/>
    <w:uiPriority w:val="99"/>
    <w:unhideWhenUsed/>
    <w:rsid w:val="00A93CAE"/>
  </w:style>
  <w:style w:type="character" w:customStyle="1" w:styleId="FootnoteTextChar">
    <w:name w:val="Footnote Text Char"/>
    <w:basedOn w:val="DefaultParagraphFont"/>
    <w:link w:val="FootnoteText"/>
    <w:uiPriority w:val="99"/>
    <w:rsid w:val="00A93CAE"/>
  </w:style>
  <w:style w:type="character" w:styleId="FootnoteReference">
    <w:name w:val="footnote reference"/>
    <w:basedOn w:val="DefaultParagraphFont"/>
    <w:uiPriority w:val="99"/>
    <w:unhideWhenUsed/>
    <w:rsid w:val="00A93CAE"/>
    <w:rPr>
      <w:vertAlign w:val="superscript"/>
    </w:rPr>
  </w:style>
  <w:style w:type="paragraph" w:styleId="ListParagraph">
    <w:name w:val="List Paragraph"/>
    <w:basedOn w:val="Normal"/>
    <w:uiPriority w:val="34"/>
    <w:qFormat/>
    <w:rsid w:val="00A1492B"/>
    <w:pPr>
      <w:ind w:left="720"/>
      <w:contextualSpacing/>
    </w:pPr>
  </w:style>
  <w:style w:type="paragraph" w:styleId="BalloonText">
    <w:name w:val="Balloon Text"/>
    <w:basedOn w:val="Normal"/>
    <w:link w:val="BalloonTextChar"/>
    <w:uiPriority w:val="99"/>
    <w:semiHidden/>
    <w:unhideWhenUsed/>
    <w:rsid w:val="00D76996"/>
    <w:rPr>
      <w:rFonts w:ascii="Tahoma" w:hAnsi="Tahoma" w:cs="Tahoma"/>
      <w:sz w:val="16"/>
      <w:szCs w:val="16"/>
    </w:rPr>
  </w:style>
  <w:style w:type="character" w:customStyle="1" w:styleId="BalloonTextChar">
    <w:name w:val="Balloon Text Char"/>
    <w:basedOn w:val="DefaultParagraphFont"/>
    <w:link w:val="BalloonText"/>
    <w:uiPriority w:val="99"/>
    <w:semiHidden/>
    <w:rsid w:val="00D76996"/>
    <w:rPr>
      <w:rFonts w:ascii="Tahoma" w:hAnsi="Tahoma" w:cs="Tahoma"/>
      <w:sz w:val="16"/>
      <w:szCs w:val="16"/>
    </w:rPr>
  </w:style>
  <w:style w:type="character" w:styleId="Hyperlink">
    <w:name w:val="Hyperlink"/>
    <w:basedOn w:val="DefaultParagraphFont"/>
    <w:uiPriority w:val="99"/>
    <w:unhideWhenUsed/>
    <w:rsid w:val="009E0E3D"/>
    <w:rPr>
      <w:color w:val="0563C1" w:themeColor="hyperlink"/>
      <w:u w:val="single"/>
    </w:rPr>
  </w:style>
  <w:style w:type="character" w:customStyle="1" w:styleId="flagicon">
    <w:name w:val="flagicon"/>
    <w:basedOn w:val="DefaultParagraphFont"/>
    <w:rsid w:val="00C605ED"/>
  </w:style>
  <w:style w:type="character" w:customStyle="1" w:styleId="nowrap">
    <w:name w:val="nowrap"/>
    <w:basedOn w:val="DefaultParagraphFont"/>
    <w:rsid w:val="00C605ED"/>
  </w:style>
  <w:style w:type="paragraph" w:styleId="NoSpacing">
    <w:name w:val="No Spacing"/>
    <w:uiPriority w:val="1"/>
    <w:qFormat/>
    <w:rsid w:val="00AB000E"/>
  </w:style>
  <w:style w:type="character" w:styleId="UnresolvedMention">
    <w:name w:val="Unresolved Mention"/>
    <w:basedOn w:val="DefaultParagraphFont"/>
    <w:uiPriority w:val="99"/>
    <w:semiHidden/>
    <w:unhideWhenUsed/>
    <w:rsid w:val="0077445E"/>
    <w:rPr>
      <w:color w:val="605E5C"/>
      <w:shd w:val="clear" w:color="auto" w:fill="E1DFDD"/>
    </w:rPr>
  </w:style>
  <w:style w:type="character" w:customStyle="1" w:styleId="Heading1Char">
    <w:name w:val="Heading 1 Char"/>
    <w:basedOn w:val="DefaultParagraphFont"/>
    <w:link w:val="Heading1"/>
    <w:uiPriority w:val="9"/>
    <w:rsid w:val="001D561F"/>
    <w:rPr>
      <w:rFonts w:ascii="Times New Roman" w:eastAsia="Times New Roman" w:hAnsi="Times New Roman" w:cs="Times New Roman"/>
      <w:b/>
      <w:bCs/>
      <w:kern w:val="36"/>
      <w:sz w:val="48"/>
      <w:szCs w:val="48"/>
      <w:lang w:val="en-GB" w:eastAsia="en-GB"/>
    </w:rPr>
  </w:style>
  <w:style w:type="character" w:styleId="Strong">
    <w:name w:val="Strong"/>
    <w:basedOn w:val="DefaultParagraphFont"/>
    <w:uiPriority w:val="22"/>
    <w:qFormat/>
    <w:rsid w:val="009320F9"/>
    <w:rPr>
      <w:b/>
      <w:bCs/>
    </w:rPr>
  </w:style>
  <w:style w:type="character" w:customStyle="1" w:styleId="Heading2Char">
    <w:name w:val="Heading 2 Char"/>
    <w:basedOn w:val="DefaultParagraphFont"/>
    <w:link w:val="Heading2"/>
    <w:uiPriority w:val="9"/>
    <w:semiHidden/>
    <w:rsid w:val="005A57E6"/>
    <w:rPr>
      <w:rFonts w:asciiTheme="majorHAnsi" w:eastAsiaTheme="majorEastAsia" w:hAnsiTheme="majorHAnsi" w:cstheme="majorBidi"/>
      <w:color w:val="2E74B5" w:themeColor="accent1" w:themeShade="BF"/>
      <w:sz w:val="26"/>
      <w:szCs w:val="26"/>
    </w:rPr>
  </w:style>
  <w:style w:type="character" w:customStyle="1" w:styleId="ssrcss-99q1ky-styledfigurecopyright">
    <w:name w:val="ssrcss-99q1ky-styledfigurecopyright"/>
    <w:basedOn w:val="DefaultParagraphFont"/>
    <w:rsid w:val="005A57E6"/>
  </w:style>
  <w:style w:type="character" w:customStyle="1" w:styleId="ssrcss-1f39n02-visuallyhidden">
    <w:name w:val="ssrcss-1f39n02-visuallyhidden"/>
    <w:basedOn w:val="DefaultParagraphFont"/>
    <w:rsid w:val="005A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26">
      <w:bodyDiv w:val="1"/>
      <w:marLeft w:val="0"/>
      <w:marRight w:val="0"/>
      <w:marTop w:val="0"/>
      <w:marBottom w:val="0"/>
      <w:divBdr>
        <w:top w:val="none" w:sz="0" w:space="0" w:color="auto"/>
        <w:left w:val="none" w:sz="0" w:space="0" w:color="auto"/>
        <w:bottom w:val="none" w:sz="0" w:space="0" w:color="auto"/>
        <w:right w:val="none" w:sz="0" w:space="0" w:color="auto"/>
      </w:divBdr>
    </w:div>
    <w:div w:id="44377936">
      <w:bodyDiv w:val="1"/>
      <w:marLeft w:val="0"/>
      <w:marRight w:val="0"/>
      <w:marTop w:val="0"/>
      <w:marBottom w:val="0"/>
      <w:divBdr>
        <w:top w:val="none" w:sz="0" w:space="0" w:color="auto"/>
        <w:left w:val="none" w:sz="0" w:space="0" w:color="auto"/>
        <w:bottom w:val="none" w:sz="0" w:space="0" w:color="auto"/>
        <w:right w:val="none" w:sz="0" w:space="0" w:color="auto"/>
      </w:divBdr>
    </w:div>
    <w:div w:id="127627172">
      <w:bodyDiv w:val="1"/>
      <w:marLeft w:val="0"/>
      <w:marRight w:val="0"/>
      <w:marTop w:val="0"/>
      <w:marBottom w:val="0"/>
      <w:divBdr>
        <w:top w:val="none" w:sz="0" w:space="0" w:color="auto"/>
        <w:left w:val="none" w:sz="0" w:space="0" w:color="auto"/>
        <w:bottom w:val="none" w:sz="0" w:space="0" w:color="auto"/>
        <w:right w:val="none" w:sz="0" w:space="0" w:color="auto"/>
      </w:divBdr>
    </w:div>
    <w:div w:id="177040489">
      <w:bodyDiv w:val="1"/>
      <w:marLeft w:val="0"/>
      <w:marRight w:val="0"/>
      <w:marTop w:val="0"/>
      <w:marBottom w:val="0"/>
      <w:divBdr>
        <w:top w:val="none" w:sz="0" w:space="0" w:color="auto"/>
        <w:left w:val="none" w:sz="0" w:space="0" w:color="auto"/>
        <w:bottom w:val="none" w:sz="0" w:space="0" w:color="auto"/>
        <w:right w:val="none" w:sz="0" w:space="0" w:color="auto"/>
      </w:divBdr>
      <w:divsChild>
        <w:div w:id="713234926">
          <w:marLeft w:val="0"/>
          <w:marRight w:val="0"/>
          <w:marTop w:val="0"/>
          <w:marBottom w:val="0"/>
          <w:divBdr>
            <w:top w:val="none" w:sz="0" w:space="0" w:color="auto"/>
            <w:left w:val="none" w:sz="0" w:space="0" w:color="auto"/>
            <w:bottom w:val="none" w:sz="0" w:space="0" w:color="auto"/>
            <w:right w:val="none" w:sz="0" w:space="0" w:color="auto"/>
          </w:divBdr>
          <w:divsChild>
            <w:div w:id="1075281396">
              <w:marLeft w:val="0"/>
              <w:marRight w:val="0"/>
              <w:marTop w:val="0"/>
              <w:marBottom w:val="0"/>
              <w:divBdr>
                <w:top w:val="none" w:sz="0" w:space="0" w:color="auto"/>
                <w:left w:val="none" w:sz="0" w:space="0" w:color="auto"/>
                <w:bottom w:val="none" w:sz="0" w:space="0" w:color="auto"/>
                <w:right w:val="none" w:sz="0" w:space="0" w:color="auto"/>
              </w:divBdr>
              <w:divsChild>
                <w:div w:id="9292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5833">
          <w:marLeft w:val="0"/>
          <w:marRight w:val="0"/>
          <w:marTop w:val="0"/>
          <w:marBottom w:val="0"/>
          <w:divBdr>
            <w:top w:val="none" w:sz="0" w:space="0" w:color="auto"/>
            <w:left w:val="none" w:sz="0" w:space="0" w:color="auto"/>
            <w:bottom w:val="none" w:sz="0" w:space="0" w:color="auto"/>
            <w:right w:val="none" w:sz="0" w:space="0" w:color="auto"/>
          </w:divBdr>
          <w:divsChild>
            <w:div w:id="1100376431">
              <w:marLeft w:val="0"/>
              <w:marRight w:val="0"/>
              <w:marTop w:val="0"/>
              <w:marBottom w:val="0"/>
              <w:divBdr>
                <w:top w:val="none" w:sz="0" w:space="0" w:color="auto"/>
                <w:left w:val="none" w:sz="0" w:space="0" w:color="auto"/>
                <w:bottom w:val="none" w:sz="0" w:space="0" w:color="auto"/>
                <w:right w:val="none" w:sz="0" w:space="0" w:color="auto"/>
              </w:divBdr>
            </w:div>
          </w:divsChild>
        </w:div>
        <w:div w:id="1614633072">
          <w:marLeft w:val="0"/>
          <w:marRight w:val="0"/>
          <w:marTop w:val="0"/>
          <w:marBottom w:val="0"/>
          <w:divBdr>
            <w:top w:val="none" w:sz="0" w:space="0" w:color="auto"/>
            <w:left w:val="none" w:sz="0" w:space="0" w:color="auto"/>
            <w:bottom w:val="none" w:sz="0" w:space="0" w:color="auto"/>
            <w:right w:val="none" w:sz="0" w:space="0" w:color="auto"/>
          </w:divBdr>
        </w:div>
        <w:div w:id="1423603296">
          <w:marLeft w:val="0"/>
          <w:marRight w:val="0"/>
          <w:marTop w:val="0"/>
          <w:marBottom w:val="0"/>
          <w:divBdr>
            <w:top w:val="none" w:sz="0" w:space="0" w:color="auto"/>
            <w:left w:val="none" w:sz="0" w:space="0" w:color="auto"/>
            <w:bottom w:val="none" w:sz="0" w:space="0" w:color="auto"/>
            <w:right w:val="none" w:sz="0" w:space="0" w:color="auto"/>
          </w:divBdr>
          <w:divsChild>
            <w:div w:id="1471551362">
              <w:marLeft w:val="0"/>
              <w:marRight w:val="0"/>
              <w:marTop w:val="0"/>
              <w:marBottom w:val="0"/>
              <w:divBdr>
                <w:top w:val="none" w:sz="0" w:space="0" w:color="auto"/>
                <w:left w:val="none" w:sz="0" w:space="0" w:color="auto"/>
                <w:bottom w:val="none" w:sz="0" w:space="0" w:color="auto"/>
                <w:right w:val="none" w:sz="0" w:space="0" w:color="auto"/>
              </w:divBdr>
            </w:div>
          </w:divsChild>
        </w:div>
        <w:div w:id="737096677">
          <w:marLeft w:val="0"/>
          <w:marRight w:val="0"/>
          <w:marTop w:val="0"/>
          <w:marBottom w:val="0"/>
          <w:divBdr>
            <w:top w:val="none" w:sz="0" w:space="0" w:color="auto"/>
            <w:left w:val="none" w:sz="0" w:space="0" w:color="auto"/>
            <w:bottom w:val="none" w:sz="0" w:space="0" w:color="auto"/>
            <w:right w:val="none" w:sz="0" w:space="0" w:color="auto"/>
          </w:divBdr>
          <w:divsChild>
            <w:div w:id="295331428">
              <w:marLeft w:val="0"/>
              <w:marRight w:val="0"/>
              <w:marTop w:val="0"/>
              <w:marBottom w:val="0"/>
              <w:divBdr>
                <w:top w:val="none" w:sz="0" w:space="0" w:color="auto"/>
                <w:left w:val="none" w:sz="0" w:space="0" w:color="auto"/>
                <w:bottom w:val="none" w:sz="0" w:space="0" w:color="auto"/>
                <w:right w:val="none" w:sz="0" w:space="0" w:color="auto"/>
              </w:divBdr>
              <w:divsChild>
                <w:div w:id="16047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502">
          <w:marLeft w:val="0"/>
          <w:marRight w:val="0"/>
          <w:marTop w:val="0"/>
          <w:marBottom w:val="0"/>
          <w:divBdr>
            <w:top w:val="none" w:sz="0" w:space="0" w:color="auto"/>
            <w:left w:val="none" w:sz="0" w:space="0" w:color="auto"/>
            <w:bottom w:val="none" w:sz="0" w:space="0" w:color="auto"/>
            <w:right w:val="none" w:sz="0" w:space="0" w:color="auto"/>
          </w:divBdr>
          <w:divsChild>
            <w:div w:id="272056509">
              <w:marLeft w:val="0"/>
              <w:marRight w:val="0"/>
              <w:marTop w:val="0"/>
              <w:marBottom w:val="0"/>
              <w:divBdr>
                <w:top w:val="none" w:sz="0" w:space="0" w:color="auto"/>
                <w:left w:val="none" w:sz="0" w:space="0" w:color="auto"/>
                <w:bottom w:val="none" w:sz="0" w:space="0" w:color="auto"/>
                <w:right w:val="none" w:sz="0" w:space="0" w:color="auto"/>
              </w:divBdr>
              <w:divsChild>
                <w:div w:id="17525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5870">
          <w:marLeft w:val="0"/>
          <w:marRight w:val="0"/>
          <w:marTop w:val="0"/>
          <w:marBottom w:val="0"/>
          <w:divBdr>
            <w:top w:val="none" w:sz="0" w:space="0" w:color="auto"/>
            <w:left w:val="none" w:sz="0" w:space="0" w:color="auto"/>
            <w:bottom w:val="none" w:sz="0" w:space="0" w:color="auto"/>
            <w:right w:val="none" w:sz="0" w:space="0" w:color="auto"/>
          </w:divBdr>
          <w:divsChild>
            <w:div w:id="581109421">
              <w:marLeft w:val="0"/>
              <w:marRight w:val="0"/>
              <w:marTop w:val="0"/>
              <w:marBottom w:val="0"/>
              <w:divBdr>
                <w:top w:val="none" w:sz="0" w:space="0" w:color="auto"/>
                <w:left w:val="none" w:sz="0" w:space="0" w:color="auto"/>
                <w:bottom w:val="none" w:sz="0" w:space="0" w:color="auto"/>
                <w:right w:val="none" w:sz="0" w:space="0" w:color="auto"/>
              </w:divBdr>
            </w:div>
          </w:divsChild>
        </w:div>
        <w:div w:id="923688137">
          <w:marLeft w:val="0"/>
          <w:marRight w:val="0"/>
          <w:marTop w:val="0"/>
          <w:marBottom w:val="0"/>
          <w:divBdr>
            <w:top w:val="none" w:sz="0" w:space="0" w:color="auto"/>
            <w:left w:val="none" w:sz="0" w:space="0" w:color="auto"/>
            <w:bottom w:val="none" w:sz="0" w:space="0" w:color="auto"/>
            <w:right w:val="none" w:sz="0" w:space="0" w:color="auto"/>
          </w:divBdr>
        </w:div>
        <w:div w:id="211620539">
          <w:marLeft w:val="0"/>
          <w:marRight w:val="0"/>
          <w:marTop w:val="0"/>
          <w:marBottom w:val="0"/>
          <w:divBdr>
            <w:top w:val="none" w:sz="0" w:space="0" w:color="auto"/>
            <w:left w:val="none" w:sz="0" w:space="0" w:color="auto"/>
            <w:bottom w:val="none" w:sz="0" w:space="0" w:color="auto"/>
            <w:right w:val="none" w:sz="0" w:space="0" w:color="auto"/>
          </w:divBdr>
          <w:divsChild>
            <w:div w:id="737367033">
              <w:marLeft w:val="0"/>
              <w:marRight w:val="0"/>
              <w:marTop w:val="0"/>
              <w:marBottom w:val="0"/>
              <w:divBdr>
                <w:top w:val="none" w:sz="0" w:space="0" w:color="auto"/>
                <w:left w:val="none" w:sz="0" w:space="0" w:color="auto"/>
                <w:bottom w:val="none" w:sz="0" w:space="0" w:color="auto"/>
                <w:right w:val="none" w:sz="0" w:space="0" w:color="auto"/>
              </w:divBdr>
            </w:div>
          </w:divsChild>
        </w:div>
        <w:div w:id="1125931916">
          <w:marLeft w:val="0"/>
          <w:marRight w:val="0"/>
          <w:marTop w:val="0"/>
          <w:marBottom w:val="0"/>
          <w:divBdr>
            <w:top w:val="none" w:sz="0" w:space="0" w:color="auto"/>
            <w:left w:val="none" w:sz="0" w:space="0" w:color="auto"/>
            <w:bottom w:val="none" w:sz="0" w:space="0" w:color="auto"/>
            <w:right w:val="none" w:sz="0" w:space="0" w:color="auto"/>
          </w:divBdr>
          <w:divsChild>
            <w:div w:id="10449916">
              <w:marLeft w:val="0"/>
              <w:marRight w:val="0"/>
              <w:marTop w:val="0"/>
              <w:marBottom w:val="0"/>
              <w:divBdr>
                <w:top w:val="none" w:sz="0" w:space="0" w:color="auto"/>
                <w:left w:val="none" w:sz="0" w:space="0" w:color="auto"/>
                <w:bottom w:val="none" w:sz="0" w:space="0" w:color="auto"/>
                <w:right w:val="none" w:sz="0" w:space="0" w:color="auto"/>
              </w:divBdr>
              <w:divsChild>
                <w:div w:id="9859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7504">
          <w:marLeft w:val="0"/>
          <w:marRight w:val="0"/>
          <w:marTop w:val="0"/>
          <w:marBottom w:val="0"/>
          <w:divBdr>
            <w:top w:val="none" w:sz="0" w:space="0" w:color="auto"/>
            <w:left w:val="none" w:sz="0" w:space="0" w:color="auto"/>
            <w:bottom w:val="none" w:sz="0" w:space="0" w:color="auto"/>
            <w:right w:val="none" w:sz="0" w:space="0" w:color="auto"/>
          </w:divBdr>
          <w:divsChild>
            <w:div w:id="474178512">
              <w:marLeft w:val="0"/>
              <w:marRight w:val="0"/>
              <w:marTop w:val="0"/>
              <w:marBottom w:val="0"/>
              <w:divBdr>
                <w:top w:val="none" w:sz="0" w:space="0" w:color="auto"/>
                <w:left w:val="none" w:sz="0" w:space="0" w:color="auto"/>
                <w:bottom w:val="none" w:sz="0" w:space="0" w:color="auto"/>
                <w:right w:val="none" w:sz="0" w:space="0" w:color="auto"/>
              </w:divBdr>
            </w:div>
          </w:divsChild>
        </w:div>
        <w:div w:id="572663409">
          <w:marLeft w:val="0"/>
          <w:marRight w:val="0"/>
          <w:marTop w:val="0"/>
          <w:marBottom w:val="0"/>
          <w:divBdr>
            <w:top w:val="none" w:sz="0" w:space="0" w:color="auto"/>
            <w:left w:val="none" w:sz="0" w:space="0" w:color="auto"/>
            <w:bottom w:val="none" w:sz="0" w:space="0" w:color="auto"/>
            <w:right w:val="none" w:sz="0" w:space="0" w:color="auto"/>
          </w:divBdr>
        </w:div>
        <w:div w:id="1643121119">
          <w:marLeft w:val="0"/>
          <w:marRight w:val="0"/>
          <w:marTop w:val="0"/>
          <w:marBottom w:val="0"/>
          <w:divBdr>
            <w:top w:val="none" w:sz="0" w:space="0" w:color="auto"/>
            <w:left w:val="none" w:sz="0" w:space="0" w:color="auto"/>
            <w:bottom w:val="none" w:sz="0" w:space="0" w:color="auto"/>
            <w:right w:val="none" w:sz="0" w:space="0" w:color="auto"/>
          </w:divBdr>
          <w:divsChild>
            <w:div w:id="1433281107">
              <w:marLeft w:val="0"/>
              <w:marRight w:val="0"/>
              <w:marTop w:val="0"/>
              <w:marBottom w:val="0"/>
              <w:divBdr>
                <w:top w:val="none" w:sz="0" w:space="0" w:color="auto"/>
                <w:left w:val="none" w:sz="0" w:space="0" w:color="auto"/>
                <w:bottom w:val="none" w:sz="0" w:space="0" w:color="auto"/>
                <w:right w:val="none" w:sz="0" w:space="0" w:color="auto"/>
              </w:divBdr>
            </w:div>
          </w:divsChild>
        </w:div>
        <w:div w:id="925117016">
          <w:marLeft w:val="0"/>
          <w:marRight w:val="0"/>
          <w:marTop w:val="0"/>
          <w:marBottom w:val="0"/>
          <w:divBdr>
            <w:top w:val="none" w:sz="0" w:space="0" w:color="auto"/>
            <w:left w:val="none" w:sz="0" w:space="0" w:color="auto"/>
            <w:bottom w:val="none" w:sz="0" w:space="0" w:color="auto"/>
            <w:right w:val="none" w:sz="0" w:space="0" w:color="auto"/>
          </w:divBdr>
          <w:divsChild>
            <w:div w:id="631327257">
              <w:marLeft w:val="0"/>
              <w:marRight w:val="0"/>
              <w:marTop w:val="0"/>
              <w:marBottom w:val="0"/>
              <w:divBdr>
                <w:top w:val="none" w:sz="0" w:space="0" w:color="auto"/>
                <w:left w:val="none" w:sz="0" w:space="0" w:color="auto"/>
                <w:bottom w:val="none" w:sz="0" w:space="0" w:color="auto"/>
                <w:right w:val="none" w:sz="0" w:space="0" w:color="auto"/>
              </w:divBdr>
              <w:divsChild>
                <w:div w:id="15714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0189">
      <w:bodyDiv w:val="1"/>
      <w:marLeft w:val="0"/>
      <w:marRight w:val="0"/>
      <w:marTop w:val="0"/>
      <w:marBottom w:val="0"/>
      <w:divBdr>
        <w:top w:val="none" w:sz="0" w:space="0" w:color="auto"/>
        <w:left w:val="none" w:sz="0" w:space="0" w:color="auto"/>
        <w:bottom w:val="none" w:sz="0" w:space="0" w:color="auto"/>
        <w:right w:val="none" w:sz="0" w:space="0" w:color="auto"/>
      </w:divBdr>
    </w:div>
    <w:div w:id="309747068">
      <w:bodyDiv w:val="1"/>
      <w:marLeft w:val="0"/>
      <w:marRight w:val="0"/>
      <w:marTop w:val="0"/>
      <w:marBottom w:val="0"/>
      <w:divBdr>
        <w:top w:val="none" w:sz="0" w:space="0" w:color="auto"/>
        <w:left w:val="none" w:sz="0" w:space="0" w:color="auto"/>
        <w:bottom w:val="none" w:sz="0" w:space="0" w:color="auto"/>
        <w:right w:val="none" w:sz="0" w:space="0" w:color="auto"/>
      </w:divBdr>
    </w:div>
    <w:div w:id="407272464">
      <w:bodyDiv w:val="1"/>
      <w:marLeft w:val="0"/>
      <w:marRight w:val="0"/>
      <w:marTop w:val="0"/>
      <w:marBottom w:val="0"/>
      <w:divBdr>
        <w:top w:val="none" w:sz="0" w:space="0" w:color="auto"/>
        <w:left w:val="none" w:sz="0" w:space="0" w:color="auto"/>
        <w:bottom w:val="none" w:sz="0" w:space="0" w:color="auto"/>
        <w:right w:val="none" w:sz="0" w:space="0" w:color="auto"/>
      </w:divBdr>
    </w:div>
    <w:div w:id="419713364">
      <w:bodyDiv w:val="1"/>
      <w:marLeft w:val="0"/>
      <w:marRight w:val="0"/>
      <w:marTop w:val="0"/>
      <w:marBottom w:val="0"/>
      <w:divBdr>
        <w:top w:val="none" w:sz="0" w:space="0" w:color="auto"/>
        <w:left w:val="none" w:sz="0" w:space="0" w:color="auto"/>
        <w:bottom w:val="none" w:sz="0" w:space="0" w:color="auto"/>
        <w:right w:val="none" w:sz="0" w:space="0" w:color="auto"/>
      </w:divBdr>
    </w:div>
    <w:div w:id="466243168">
      <w:bodyDiv w:val="1"/>
      <w:marLeft w:val="0"/>
      <w:marRight w:val="0"/>
      <w:marTop w:val="0"/>
      <w:marBottom w:val="0"/>
      <w:divBdr>
        <w:top w:val="none" w:sz="0" w:space="0" w:color="auto"/>
        <w:left w:val="none" w:sz="0" w:space="0" w:color="auto"/>
        <w:bottom w:val="none" w:sz="0" w:space="0" w:color="auto"/>
        <w:right w:val="none" w:sz="0" w:space="0" w:color="auto"/>
      </w:divBdr>
    </w:div>
    <w:div w:id="535846819">
      <w:bodyDiv w:val="1"/>
      <w:marLeft w:val="0"/>
      <w:marRight w:val="0"/>
      <w:marTop w:val="0"/>
      <w:marBottom w:val="0"/>
      <w:divBdr>
        <w:top w:val="none" w:sz="0" w:space="0" w:color="auto"/>
        <w:left w:val="none" w:sz="0" w:space="0" w:color="auto"/>
        <w:bottom w:val="none" w:sz="0" w:space="0" w:color="auto"/>
        <w:right w:val="none" w:sz="0" w:space="0" w:color="auto"/>
      </w:divBdr>
    </w:div>
    <w:div w:id="539435420">
      <w:bodyDiv w:val="1"/>
      <w:marLeft w:val="0"/>
      <w:marRight w:val="0"/>
      <w:marTop w:val="0"/>
      <w:marBottom w:val="0"/>
      <w:divBdr>
        <w:top w:val="none" w:sz="0" w:space="0" w:color="auto"/>
        <w:left w:val="none" w:sz="0" w:space="0" w:color="auto"/>
        <w:bottom w:val="none" w:sz="0" w:space="0" w:color="auto"/>
        <w:right w:val="none" w:sz="0" w:space="0" w:color="auto"/>
      </w:divBdr>
      <w:divsChild>
        <w:div w:id="80370004">
          <w:marLeft w:val="0"/>
          <w:marRight w:val="0"/>
          <w:marTop w:val="0"/>
          <w:marBottom w:val="0"/>
          <w:divBdr>
            <w:top w:val="none" w:sz="0" w:space="0" w:color="auto"/>
            <w:left w:val="none" w:sz="0" w:space="0" w:color="auto"/>
            <w:bottom w:val="none" w:sz="0" w:space="0" w:color="auto"/>
            <w:right w:val="none" w:sz="0" w:space="0" w:color="auto"/>
          </w:divBdr>
        </w:div>
        <w:div w:id="2099666515">
          <w:marLeft w:val="336"/>
          <w:marRight w:val="0"/>
          <w:marTop w:val="120"/>
          <w:marBottom w:val="312"/>
          <w:divBdr>
            <w:top w:val="none" w:sz="0" w:space="0" w:color="auto"/>
            <w:left w:val="none" w:sz="0" w:space="0" w:color="auto"/>
            <w:bottom w:val="none" w:sz="0" w:space="0" w:color="auto"/>
            <w:right w:val="none" w:sz="0" w:space="0" w:color="auto"/>
          </w:divBdr>
          <w:divsChild>
            <w:div w:id="384107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8387131">
          <w:marLeft w:val="336"/>
          <w:marRight w:val="0"/>
          <w:marTop w:val="120"/>
          <w:marBottom w:val="312"/>
          <w:divBdr>
            <w:top w:val="none" w:sz="0" w:space="0" w:color="auto"/>
            <w:left w:val="none" w:sz="0" w:space="0" w:color="auto"/>
            <w:bottom w:val="none" w:sz="0" w:space="0" w:color="auto"/>
            <w:right w:val="none" w:sz="0" w:space="0" w:color="auto"/>
          </w:divBdr>
          <w:divsChild>
            <w:div w:id="12261429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633315">
          <w:marLeft w:val="0"/>
          <w:marRight w:val="0"/>
          <w:marTop w:val="0"/>
          <w:marBottom w:val="120"/>
          <w:divBdr>
            <w:top w:val="none" w:sz="0" w:space="0" w:color="auto"/>
            <w:left w:val="none" w:sz="0" w:space="0" w:color="auto"/>
            <w:bottom w:val="none" w:sz="0" w:space="0" w:color="auto"/>
            <w:right w:val="none" w:sz="0" w:space="0" w:color="auto"/>
          </w:divBdr>
        </w:div>
      </w:divsChild>
    </w:div>
    <w:div w:id="682901908">
      <w:bodyDiv w:val="1"/>
      <w:marLeft w:val="0"/>
      <w:marRight w:val="0"/>
      <w:marTop w:val="0"/>
      <w:marBottom w:val="0"/>
      <w:divBdr>
        <w:top w:val="none" w:sz="0" w:space="0" w:color="auto"/>
        <w:left w:val="none" w:sz="0" w:space="0" w:color="auto"/>
        <w:bottom w:val="none" w:sz="0" w:space="0" w:color="auto"/>
        <w:right w:val="none" w:sz="0" w:space="0" w:color="auto"/>
      </w:divBdr>
    </w:div>
    <w:div w:id="751003468">
      <w:bodyDiv w:val="1"/>
      <w:marLeft w:val="0"/>
      <w:marRight w:val="0"/>
      <w:marTop w:val="0"/>
      <w:marBottom w:val="0"/>
      <w:divBdr>
        <w:top w:val="none" w:sz="0" w:space="0" w:color="auto"/>
        <w:left w:val="none" w:sz="0" w:space="0" w:color="auto"/>
        <w:bottom w:val="none" w:sz="0" w:space="0" w:color="auto"/>
        <w:right w:val="none" w:sz="0" w:space="0" w:color="auto"/>
      </w:divBdr>
    </w:div>
    <w:div w:id="890070882">
      <w:bodyDiv w:val="1"/>
      <w:marLeft w:val="0"/>
      <w:marRight w:val="0"/>
      <w:marTop w:val="0"/>
      <w:marBottom w:val="0"/>
      <w:divBdr>
        <w:top w:val="none" w:sz="0" w:space="0" w:color="auto"/>
        <w:left w:val="none" w:sz="0" w:space="0" w:color="auto"/>
        <w:bottom w:val="none" w:sz="0" w:space="0" w:color="auto"/>
        <w:right w:val="none" w:sz="0" w:space="0" w:color="auto"/>
      </w:divBdr>
      <w:divsChild>
        <w:div w:id="481582472">
          <w:marLeft w:val="0"/>
          <w:marRight w:val="0"/>
          <w:marTop w:val="0"/>
          <w:marBottom w:val="0"/>
          <w:divBdr>
            <w:top w:val="none" w:sz="0" w:space="0" w:color="auto"/>
            <w:left w:val="none" w:sz="0" w:space="0" w:color="auto"/>
            <w:bottom w:val="none" w:sz="0" w:space="0" w:color="auto"/>
            <w:right w:val="none" w:sz="0" w:space="0" w:color="auto"/>
          </w:divBdr>
        </w:div>
        <w:div w:id="1297419082">
          <w:marLeft w:val="0"/>
          <w:marRight w:val="0"/>
          <w:marTop w:val="0"/>
          <w:marBottom w:val="0"/>
          <w:divBdr>
            <w:top w:val="none" w:sz="0" w:space="0" w:color="auto"/>
            <w:left w:val="none" w:sz="0" w:space="0" w:color="auto"/>
            <w:bottom w:val="none" w:sz="0" w:space="0" w:color="auto"/>
            <w:right w:val="none" w:sz="0" w:space="0" w:color="auto"/>
          </w:divBdr>
        </w:div>
        <w:div w:id="663707820">
          <w:marLeft w:val="0"/>
          <w:marRight w:val="0"/>
          <w:marTop w:val="0"/>
          <w:marBottom w:val="0"/>
          <w:divBdr>
            <w:top w:val="none" w:sz="0" w:space="0" w:color="auto"/>
            <w:left w:val="none" w:sz="0" w:space="0" w:color="auto"/>
            <w:bottom w:val="none" w:sz="0" w:space="0" w:color="auto"/>
            <w:right w:val="none" w:sz="0" w:space="0" w:color="auto"/>
          </w:divBdr>
        </w:div>
        <w:div w:id="1174612318">
          <w:marLeft w:val="0"/>
          <w:marRight w:val="0"/>
          <w:marTop w:val="0"/>
          <w:marBottom w:val="0"/>
          <w:divBdr>
            <w:top w:val="none" w:sz="0" w:space="0" w:color="auto"/>
            <w:left w:val="none" w:sz="0" w:space="0" w:color="auto"/>
            <w:bottom w:val="none" w:sz="0" w:space="0" w:color="auto"/>
            <w:right w:val="none" w:sz="0" w:space="0" w:color="auto"/>
          </w:divBdr>
        </w:div>
        <w:div w:id="26495719">
          <w:marLeft w:val="0"/>
          <w:marRight w:val="0"/>
          <w:marTop w:val="0"/>
          <w:marBottom w:val="0"/>
          <w:divBdr>
            <w:top w:val="none" w:sz="0" w:space="0" w:color="auto"/>
            <w:left w:val="none" w:sz="0" w:space="0" w:color="auto"/>
            <w:bottom w:val="none" w:sz="0" w:space="0" w:color="auto"/>
            <w:right w:val="none" w:sz="0" w:space="0" w:color="auto"/>
          </w:divBdr>
        </w:div>
        <w:div w:id="515923342">
          <w:marLeft w:val="0"/>
          <w:marRight w:val="0"/>
          <w:marTop w:val="0"/>
          <w:marBottom w:val="0"/>
          <w:divBdr>
            <w:top w:val="none" w:sz="0" w:space="0" w:color="auto"/>
            <w:left w:val="none" w:sz="0" w:space="0" w:color="auto"/>
            <w:bottom w:val="none" w:sz="0" w:space="0" w:color="auto"/>
            <w:right w:val="none" w:sz="0" w:space="0" w:color="auto"/>
          </w:divBdr>
        </w:div>
      </w:divsChild>
    </w:div>
    <w:div w:id="1003321531">
      <w:bodyDiv w:val="1"/>
      <w:marLeft w:val="0"/>
      <w:marRight w:val="0"/>
      <w:marTop w:val="0"/>
      <w:marBottom w:val="0"/>
      <w:divBdr>
        <w:top w:val="none" w:sz="0" w:space="0" w:color="auto"/>
        <w:left w:val="none" w:sz="0" w:space="0" w:color="auto"/>
        <w:bottom w:val="none" w:sz="0" w:space="0" w:color="auto"/>
        <w:right w:val="none" w:sz="0" w:space="0" w:color="auto"/>
      </w:divBdr>
    </w:div>
    <w:div w:id="1083188339">
      <w:bodyDiv w:val="1"/>
      <w:marLeft w:val="0"/>
      <w:marRight w:val="0"/>
      <w:marTop w:val="0"/>
      <w:marBottom w:val="0"/>
      <w:divBdr>
        <w:top w:val="none" w:sz="0" w:space="0" w:color="auto"/>
        <w:left w:val="none" w:sz="0" w:space="0" w:color="auto"/>
        <w:bottom w:val="none" w:sz="0" w:space="0" w:color="auto"/>
        <w:right w:val="none" w:sz="0" w:space="0" w:color="auto"/>
      </w:divBdr>
      <w:divsChild>
        <w:div w:id="2111971877">
          <w:marLeft w:val="0"/>
          <w:marRight w:val="0"/>
          <w:marTop w:val="0"/>
          <w:marBottom w:val="0"/>
          <w:divBdr>
            <w:top w:val="none" w:sz="0" w:space="0" w:color="auto"/>
            <w:left w:val="none" w:sz="0" w:space="0" w:color="auto"/>
            <w:bottom w:val="none" w:sz="0" w:space="0" w:color="auto"/>
            <w:right w:val="none" w:sz="0" w:space="0" w:color="auto"/>
          </w:divBdr>
          <w:divsChild>
            <w:div w:id="1585609116">
              <w:marLeft w:val="0"/>
              <w:marRight w:val="0"/>
              <w:marTop w:val="0"/>
              <w:marBottom w:val="0"/>
              <w:divBdr>
                <w:top w:val="none" w:sz="0" w:space="0" w:color="auto"/>
                <w:left w:val="none" w:sz="0" w:space="0" w:color="auto"/>
                <w:bottom w:val="none" w:sz="0" w:space="0" w:color="auto"/>
                <w:right w:val="none" w:sz="0" w:space="0" w:color="auto"/>
              </w:divBdr>
            </w:div>
          </w:divsChild>
        </w:div>
        <w:div w:id="580677847">
          <w:marLeft w:val="0"/>
          <w:marRight w:val="0"/>
          <w:marTop w:val="0"/>
          <w:marBottom w:val="0"/>
          <w:divBdr>
            <w:top w:val="none" w:sz="0" w:space="0" w:color="auto"/>
            <w:left w:val="none" w:sz="0" w:space="0" w:color="auto"/>
            <w:bottom w:val="none" w:sz="0" w:space="0" w:color="auto"/>
            <w:right w:val="none" w:sz="0" w:space="0" w:color="auto"/>
          </w:divBdr>
          <w:divsChild>
            <w:div w:id="2143572632">
              <w:marLeft w:val="0"/>
              <w:marRight w:val="0"/>
              <w:marTop w:val="0"/>
              <w:marBottom w:val="0"/>
              <w:divBdr>
                <w:top w:val="none" w:sz="0" w:space="0" w:color="auto"/>
                <w:left w:val="none" w:sz="0" w:space="0" w:color="auto"/>
                <w:bottom w:val="none" w:sz="0" w:space="0" w:color="auto"/>
                <w:right w:val="none" w:sz="0" w:space="0" w:color="auto"/>
              </w:divBdr>
            </w:div>
          </w:divsChild>
        </w:div>
        <w:div w:id="1226722171">
          <w:marLeft w:val="0"/>
          <w:marRight w:val="0"/>
          <w:marTop w:val="0"/>
          <w:marBottom w:val="0"/>
          <w:divBdr>
            <w:top w:val="none" w:sz="0" w:space="0" w:color="auto"/>
            <w:left w:val="none" w:sz="0" w:space="0" w:color="auto"/>
            <w:bottom w:val="none" w:sz="0" w:space="0" w:color="auto"/>
            <w:right w:val="none" w:sz="0" w:space="0" w:color="auto"/>
          </w:divBdr>
          <w:divsChild>
            <w:div w:id="1357584534">
              <w:marLeft w:val="0"/>
              <w:marRight w:val="0"/>
              <w:marTop w:val="0"/>
              <w:marBottom w:val="0"/>
              <w:divBdr>
                <w:top w:val="none" w:sz="0" w:space="0" w:color="auto"/>
                <w:left w:val="none" w:sz="0" w:space="0" w:color="auto"/>
                <w:bottom w:val="none" w:sz="0" w:space="0" w:color="auto"/>
                <w:right w:val="none" w:sz="0" w:space="0" w:color="auto"/>
              </w:divBdr>
              <w:divsChild>
                <w:div w:id="16926250">
                  <w:marLeft w:val="0"/>
                  <w:marRight w:val="0"/>
                  <w:marTop w:val="0"/>
                  <w:marBottom w:val="0"/>
                  <w:divBdr>
                    <w:top w:val="none" w:sz="0" w:space="0" w:color="auto"/>
                    <w:left w:val="none" w:sz="0" w:space="0" w:color="auto"/>
                    <w:bottom w:val="none" w:sz="0" w:space="0" w:color="auto"/>
                    <w:right w:val="none" w:sz="0" w:space="0" w:color="auto"/>
                  </w:divBdr>
                  <w:divsChild>
                    <w:div w:id="529531891">
                      <w:marLeft w:val="0"/>
                      <w:marRight w:val="0"/>
                      <w:marTop w:val="0"/>
                      <w:marBottom w:val="0"/>
                      <w:divBdr>
                        <w:top w:val="none" w:sz="0" w:space="0" w:color="auto"/>
                        <w:left w:val="none" w:sz="0" w:space="0" w:color="auto"/>
                        <w:bottom w:val="none" w:sz="0" w:space="0" w:color="auto"/>
                        <w:right w:val="none" w:sz="0" w:space="0" w:color="auto"/>
                      </w:divBdr>
                      <w:divsChild>
                        <w:div w:id="554395059">
                          <w:blockQuote w:val="1"/>
                          <w:marLeft w:val="0"/>
                          <w:marRight w:val="0"/>
                          <w:marTop w:val="0"/>
                          <w:marBottom w:val="360"/>
                          <w:divBdr>
                            <w:top w:val="none" w:sz="0" w:space="0" w:color="auto"/>
                            <w:left w:val="single" w:sz="18" w:space="18" w:color="045E6C"/>
                            <w:bottom w:val="none" w:sz="0" w:space="0" w:color="auto"/>
                            <w:right w:val="none" w:sz="0" w:space="0" w:color="auto"/>
                          </w:divBdr>
                        </w:div>
                        <w:div w:id="1923484176">
                          <w:marLeft w:val="0"/>
                          <w:marRight w:val="0"/>
                          <w:marTop w:val="100"/>
                          <w:marBottom w:val="100"/>
                          <w:divBdr>
                            <w:top w:val="none" w:sz="0" w:space="0" w:color="auto"/>
                            <w:left w:val="none" w:sz="0" w:space="0" w:color="auto"/>
                            <w:bottom w:val="none" w:sz="0" w:space="0" w:color="auto"/>
                            <w:right w:val="none" w:sz="0" w:space="0" w:color="auto"/>
                          </w:divBdr>
                          <w:divsChild>
                            <w:div w:id="1898393459">
                              <w:marLeft w:val="0"/>
                              <w:marRight w:val="0"/>
                              <w:marTop w:val="0"/>
                              <w:marBottom w:val="0"/>
                              <w:divBdr>
                                <w:top w:val="none" w:sz="0" w:space="0" w:color="auto"/>
                                <w:left w:val="none" w:sz="0" w:space="0" w:color="auto"/>
                                <w:bottom w:val="none" w:sz="0" w:space="0" w:color="auto"/>
                                <w:right w:val="none" w:sz="0" w:space="0" w:color="auto"/>
                              </w:divBdr>
                              <w:divsChild>
                                <w:div w:id="5143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205907">
      <w:bodyDiv w:val="1"/>
      <w:marLeft w:val="0"/>
      <w:marRight w:val="0"/>
      <w:marTop w:val="0"/>
      <w:marBottom w:val="0"/>
      <w:divBdr>
        <w:top w:val="none" w:sz="0" w:space="0" w:color="auto"/>
        <w:left w:val="none" w:sz="0" w:space="0" w:color="auto"/>
        <w:bottom w:val="none" w:sz="0" w:space="0" w:color="auto"/>
        <w:right w:val="none" w:sz="0" w:space="0" w:color="auto"/>
      </w:divBdr>
    </w:div>
    <w:div w:id="1223324870">
      <w:bodyDiv w:val="1"/>
      <w:marLeft w:val="0"/>
      <w:marRight w:val="0"/>
      <w:marTop w:val="0"/>
      <w:marBottom w:val="0"/>
      <w:divBdr>
        <w:top w:val="none" w:sz="0" w:space="0" w:color="auto"/>
        <w:left w:val="none" w:sz="0" w:space="0" w:color="auto"/>
        <w:bottom w:val="none" w:sz="0" w:space="0" w:color="auto"/>
        <w:right w:val="none" w:sz="0" w:space="0" w:color="auto"/>
      </w:divBdr>
    </w:div>
    <w:div w:id="1279335539">
      <w:bodyDiv w:val="1"/>
      <w:marLeft w:val="0"/>
      <w:marRight w:val="0"/>
      <w:marTop w:val="0"/>
      <w:marBottom w:val="0"/>
      <w:divBdr>
        <w:top w:val="none" w:sz="0" w:space="0" w:color="auto"/>
        <w:left w:val="none" w:sz="0" w:space="0" w:color="auto"/>
        <w:bottom w:val="none" w:sz="0" w:space="0" w:color="auto"/>
        <w:right w:val="none" w:sz="0" w:space="0" w:color="auto"/>
      </w:divBdr>
    </w:div>
    <w:div w:id="1316032003">
      <w:bodyDiv w:val="1"/>
      <w:marLeft w:val="0"/>
      <w:marRight w:val="0"/>
      <w:marTop w:val="0"/>
      <w:marBottom w:val="0"/>
      <w:divBdr>
        <w:top w:val="none" w:sz="0" w:space="0" w:color="auto"/>
        <w:left w:val="none" w:sz="0" w:space="0" w:color="auto"/>
        <w:bottom w:val="none" w:sz="0" w:space="0" w:color="auto"/>
        <w:right w:val="none" w:sz="0" w:space="0" w:color="auto"/>
      </w:divBdr>
      <w:divsChild>
        <w:div w:id="1396783242">
          <w:marLeft w:val="0"/>
          <w:marRight w:val="0"/>
          <w:marTop w:val="0"/>
          <w:marBottom w:val="0"/>
          <w:divBdr>
            <w:top w:val="none" w:sz="0" w:space="0" w:color="auto"/>
            <w:left w:val="none" w:sz="0" w:space="0" w:color="auto"/>
            <w:bottom w:val="none" w:sz="0" w:space="0" w:color="auto"/>
            <w:right w:val="none" w:sz="0" w:space="0" w:color="auto"/>
          </w:divBdr>
        </w:div>
        <w:div w:id="604271465">
          <w:marLeft w:val="0"/>
          <w:marRight w:val="0"/>
          <w:marTop w:val="0"/>
          <w:marBottom w:val="0"/>
          <w:divBdr>
            <w:top w:val="none" w:sz="0" w:space="0" w:color="auto"/>
            <w:left w:val="none" w:sz="0" w:space="0" w:color="auto"/>
            <w:bottom w:val="none" w:sz="0" w:space="0" w:color="auto"/>
            <w:right w:val="none" w:sz="0" w:space="0" w:color="auto"/>
          </w:divBdr>
        </w:div>
        <w:div w:id="883565749">
          <w:marLeft w:val="0"/>
          <w:marRight w:val="0"/>
          <w:marTop w:val="0"/>
          <w:marBottom w:val="0"/>
          <w:divBdr>
            <w:top w:val="none" w:sz="0" w:space="0" w:color="auto"/>
            <w:left w:val="none" w:sz="0" w:space="0" w:color="auto"/>
            <w:bottom w:val="none" w:sz="0" w:space="0" w:color="auto"/>
            <w:right w:val="none" w:sz="0" w:space="0" w:color="auto"/>
          </w:divBdr>
        </w:div>
        <w:div w:id="1137452451">
          <w:marLeft w:val="0"/>
          <w:marRight w:val="0"/>
          <w:marTop w:val="0"/>
          <w:marBottom w:val="0"/>
          <w:divBdr>
            <w:top w:val="none" w:sz="0" w:space="0" w:color="auto"/>
            <w:left w:val="none" w:sz="0" w:space="0" w:color="auto"/>
            <w:bottom w:val="none" w:sz="0" w:space="0" w:color="auto"/>
            <w:right w:val="none" w:sz="0" w:space="0" w:color="auto"/>
          </w:divBdr>
        </w:div>
        <w:div w:id="2090082048">
          <w:marLeft w:val="0"/>
          <w:marRight w:val="0"/>
          <w:marTop w:val="0"/>
          <w:marBottom w:val="0"/>
          <w:divBdr>
            <w:top w:val="none" w:sz="0" w:space="0" w:color="auto"/>
            <w:left w:val="none" w:sz="0" w:space="0" w:color="auto"/>
            <w:bottom w:val="none" w:sz="0" w:space="0" w:color="auto"/>
            <w:right w:val="none" w:sz="0" w:space="0" w:color="auto"/>
          </w:divBdr>
        </w:div>
        <w:div w:id="1260140024">
          <w:marLeft w:val="0"/>
          <w:marRight w:val="0"/>
          <w:marTop w:val="0"/>
          <w:marBottom w:val="0"/>
          <w:divBdr>
            <w:top w:val="none" w:sz="0" w:space="0" w:color="auto"/>
            <w:left w:val="none" w:sz="0" w:space="0" w:color="auto"/>
            <w:bottom w:val="none" w:sz="0" w:space="0" w:color="auto"/>
            <w:right w:val="none" w:sz="0" w:space="0" w:color="auto"/>
          </w:divBdr>
        </w:div>
        <w:div w:id="1984045004">
          <w:marLeft w:val="0"/>
          <w:marRight w:val="0"/>
          <w:marTop w:val="0"/>
          <w:marBottom w:val="0"/>
          <w:divBdr>
            <w:top w:val="none" w:sz="0" w:space="0" w:color="auto"/>
            <w:left w:val="none" w:sz="0" w:space="0" w:color="auto"/>
            <w:bottom w:val="none" w:sz="0" w:space="0" w:color="auto"/>
            <w:right w:val="none" w:sz="0" w:space="0" w:color="auto"/>
          </w:divBdr>
        </w:div>
        <w:div w:id="1548252525">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532499350">
          <w:marLeft w:val="0"/>
          <w:marRight w:val="0"/>
          <w:marTop w:val="0"/>
          <w:marBottom w:val="0"/>
          <w:divBdr>
            <w:top w:val="none" w:sz="0" w:space="0" w:color="auto"/>
            <w:left w:val="none" w:sz="0" w:space="0" w:color="auto"/>
            <w:bottom w:val="none" w:sz="0" w:space="0" w:color="auto"/>
            <w:right w:val="none" w:sz="0" w:space="0" w:color="auto"/>
          </w:divBdr>
        </w:div>
        <w:div w:id="844174000">
          <w:marLeft w:val="0"/>
          <w:marRight w:val="0"/>
          <w:marTop w:val="0"/>
          <w:marBottom w:val="0"/>
          <w:divBdr>
            <w:top w:val="none" w:sz="0" w:space="0" w:color="auto"/>
            <w:left w:val="none" w:sz="0" w:space="0" w:color="auto"/>
            <w:bottom w:val="none" w:sz="0" w:space="0" w:color="auto"/>
            <w:right w:val="none" w:sz="0" w:space="0" w:color="auto"/>
          </w:divBdr>
        </w:div>
        <w:div w:id="2144690831">
          <w:marLeft w:val="0"/>
          <w:marRight w:val="0"/>
          <w:marTop w:val="0"/>
          <w:marBottom w:val="0"/>
          <w:divBdr>
            <w:top w:val="none" w:sz="0" w:space="0" w:color="auto"/>
            <w:left w:val="none" w:sz="0" w:space="0" w:color="auto"/>
            <w:bottom w:val="none" w:sz="0" w:space="0" w:color="auto"/>
            <w:right w:val="none" w:sz="0" w:space="0" w:color="auto"/>
          </w:divBdr>
        </w:div>
        <w:div w:id="1057824163">
          <w:marLeft w:val="0"/>
          <w:marRight w:val="0"/>
          <w:marTop w:val="0"/>
          <w:marBottom w:val="0"/>
          <w:divBdr>
            <w:top w:val="none" w:sz="0" w:space="0" w:color="auto"/>
            <w:left w:val="none" w:sz="0" w:space="0" w:color="auto"/>
            <w:bottom w:val="none" w:sz="0" w:space="0" w:color="auto"/>
            <w:right w:val="none" w:sz="0" w:space="0" w:color="auto"/>
          </w:divBdr>
        </w:div>
        <w:div w:id="432555862">
          <w:marLeft w:val="0"/>
          <w:marRight w:val="0"/>
          <w:marTop w:val="0"/>
          <w:marBottom w:val="0"/>
          <w:divBdr>
            <w:top w:val="none" w:sz="0" w:space="0" w:color="auto"/>
            <w:left w:val="none" w:sz="0" w:space="0" w:color="auto"/>
            <w:bottom w:val="none" w:sz="0" w:space="0" w:color="auto"/>
            <w:right w:val="none" w:sz="0" w:space="0" w:color="auto"/>
          </w:divBdr>
        </w:div>
        <w:div w:id="1432355335">
          <w:marLeft w:val="0"/>
          <w:marRight w:val="0"/>
          <w:marTop w:val="0"/>
          <w:marBottom w:val="0"/>
          <w:divBdr>
            <w:top w:val="none" w:sz="0" w:space="0" w:color="auto"/>
            <w:left w:val="none" w:sz="0" w:space="0" w:color="auto"/>
            <w:bottom w:val="none" w:sz="0" w:space="0" w:color="auto"/>
            <w:right w:val="none" w:sz="0" w:space="0" w:color="auto"/>
          </w:divBdr>
        </w:div>
        <w:div w:id="1013218067">
          <w:marLeft w:val="0"/>
          <w:marRight w:val="0"/>
          <w:marTop w:val="0"/>
          <w:marBottom w:val="0"/>
          <w:divBdr>
            <w:top w:val="none" w:sz="0" w:space="0" w:color="auto"/>
            <w:left w:val="none" w:sz="0" w:space="0" w:color="auto"/>
            <w:bottom w:val="none" w:sz="0" w:space="0" w:color="auto"/>
            <w:right w:val="none" w:sz="0" w:space="0" w:color="auto"/>
          </w:divBdr>
        </w:div>
        <w:div w:id="699815162">
          <w:marLeft w:val="0"/>
          <w:marRight w:val="0"/>
          <w:marTop w:val="0"/>
          <w:marBottom w:val="0"/>
          <w:divBdr>
            <w:top w:val="none" w:sz="0" w:space="0" w:color="auto"/>
            <w:left w:val="none" w:sz="0" w:space="0" w:color="auto"/>
            <w:bottom w:val="none" w:sz="0" w:space="0" w:color="auto"/>
            <w:right w:val="none" w:sz="0" w:space="0" w:color="auto"/>
          </w:divBdr>
        </w:div>
        <w:div w:id="753207305">
          <w:marLeft w:val="0"/>
          <w:marRight w:val="0"/>
          <w:marTop w:val="0"/>
          <w:marBottom w:val="0"/>
          <w:divBdr>
            <w:top w:val="none" w:sz="0" w:space="0" w:color="auto"/>
            <w:left w:val="none" w:sz="0" w:space="0" w:color="auto"/>
            <w:bottom w:val="none" w:sz="0" w:space="0" w:color="auto"/>
            <w:right w:val="none" w:sz="0" w:space="0" w:color="auto"/>
          </w:divBdr>
        </w:div>
        <w:div w:id="1092629020">
          <w:marLeft w:val="0"/>
          <w:marRight w:val="0"/>
          <w:marTop w:val="0"/>
          <w:marBottom w:val="0"/>
          <w:divBdr>
            <w:top w:val="none" w:sz="0" w:space="0" w:color="auto"/>
            <w:left w:val="none" w:sz="0" w:space="0" w:color="auto"/>
            <w:bottom w:val="none" w:sz="0" w:space="0" w:color="auto"/>
            <w:right w:val="none" w:sz="0" w:space="0" w:color="auto"/>
          </w:divBdr>
        </w:div>
        <w:div w:id="1857421558">
          <w:marLeft w:val="0"/>
          <w:marRight w:val="0"/>
          <w:marTop w:val="0"/>
          <w:marBottom w:val="0"/>
          <w:divBdr>
            <w:top w:val="none" w:sz="0" w:space="0" w:color="auto"/>
            <w:left w:val="none" w:sz="0" w:space="0" w:color="auto"/>
            <w:bottom w:val="none" w:sz="0" w:space="0" w:color="auto"/>
            <w:right w:val="none" w:sz="0" w:space="0" w:color="auto"/>
          </w:divBdr>
        </w:div>
        <w:div w:id="1570651487">
          <w:marLeft w:val="0"/>
          <w:marRight w:val="0"/>
          <w:marTop w:val="0"/>
          <w:marBottom w:val="0"/>
          <w:divBdr>
            <w:top w:val="none" w:sz="0" w:space="0" w:color="auto"/>
            <w:left w:val="none" w:sz="0" w:space="0" w:color="auto"/>
            <w:bottom w:val="none" w:sz="0" w:space="0" w:color="auto"/>
            <w:right w:val="none" w:sz="0" w:space="0" w:color="auto"/>
          </w:divBdr>
        </w:div>
        <w:div w:id="2118674030">
          <w:marLeft w:val="0"/>
          <w:marRight w:val="0"/>
          <w:marTop w:val="0"/>
          <w:marBottom w:val="0"/>
          <w:divBdr>
            <w:top w:val="none" w:sz="0" w:space="0" w:color="auto"/>
            <w:left w:val="none" w:sz="0" w:space="0" w:color="auto"/>
            <w:bottom w:val="none" w:sz="0" w:space="0" w:color="auto"/>
            <w:right w:val="none" w:sz="0" w:space="0" w:color="auto"/>
          </w:divBdr>
        </w:div>
        <w:div w:id="495196047">
          <w:marLeft w:val="0"/>
          <w:marRight w:val="0"/>
          <w:marTop w:val="0"/>
          <w:marBottom w:val="0"/>
          <w:divBdr>
            <w:top w:val="none" w:sz="0" w:space="0" w:color="auto"/>
            <w:left w:val="none" w:sz="0" w:space="0" w:color="auto"/>
            <w:bottom w:val="none" w:sz="0" w:space="0" w:color="auto"/>
            <w:right w:val="none" w:sz="0" w:space="0" w:color="auto"/>
          </w:divBdr>
        </w:div>
        <w:div w:id="1251889673">
          <w:marLeft w:val="0"/>
          <w:marRight w:val="0"/>
          <w:marTop w:val="0"/>
          <w:marBottom w:val="0"/>
          <w:divBdr>
            <w:top w:val="none" w:sz="0" w:space="0" w:color="auto"/>
            <w:left w:val="none" w:sz="0" w:space="0" w:color="auto"/>
            <w:bottom w:val="none" w:sz="0" w:space="0" w:color="auto"/>
            <w:right w:val="none" w:sz="0" w:space="0" w:color="auto"/>
          </w:divBdr>
        </w:div>
        <w:div w:id="1431241072">
          <w:marLeft w:val="0"/>
          <w:marRight w:val="0"/>
          <w:marTop w:val="0"/>
          <w:marBottom w:val="0"/>
          <w:divBdr>
            <w:top w:val="none" w:sz="0" w:space="0" w:color="auto"/>
            <w:left w:val="none" w:sz="0" w:space="0" w:color="auto"/>
            <w:bottom w:val="none" w:sz="0" w:space="0" w:color="auto"/>
            <w:right w:val="none" w:sz="0" w:space="0" w:color="auto"/>
          </w:divBdr>
        </w:div>
        <w:div w:id="461849701">
          <w:marLeft w:val="0"/>
          <w:marRight w:val="0"/>
          <w:marTop w:val="0"/>
          <w:marBottom w:val="0"/>
          <w:divBdr>
            <w:top w:val="none" w:sz="0" w:space="0" w:color="auto"/>
            <w:left w:val="none" w:sz="0" w:space="0" w:color="auto"/>
            <w:bottom w:val="none" w:sz="0" w:space="0" w:color="auto"/>
            <w:right w:val="none" w:sz="0" w:space="0" w:color="auto"/>
          </w:divBdr>
        </w:div>
        <w:div w:id="1770538978">
          <w:marLeft w:val="0"/>
          <w:marRight w:val="0"/>
          <w:marTop w:val="0"/>
          <w:marBottom w:val="0"/>
          <w:divBdr>
            <w:top w:val="none" w:sz="0" w:space="0" w:color="auto"/>
            <w:left w:val="none" w:sz="0" w:space="0" w:color="auto"/>
            <w:bottom w:val="none" w:sz="0" w:space="0" w:color="auto"/>
            <w:right w:val="none" w:sz="0" w:space="0" w:color="auto"/>
          </w:divBdr>
        </w:div>
        <w:div w:id="975335052">
          <w:marLeft w:val="0"/>
          <w:marRight w:val="0"/>
          <w:marTop w:val="0"/>
          <w:marBottom w:val="0"/>
          <w:divBdr>
            <w:top w:val="none" w:sz="0" w:space="0" w:color="auto"/>
            <w:left w:val="none" w:sz="0" w:space="0" w:color="auto"/>
            <w:bottom w:val="none" w:sz="0" w:space="0" w:color="auto"/>
            <w:right w:val="none" w:sz="0" w:space="0" w:color="auto"/>
          </w:divBdr>
        </w:div>
        <w:div w:id="643660528">
          <w:marLeft w:val="0"/>
          <w:marRight w:val="0"/>
          <w:marTop w:val="0"/>
          <w:marBottom w:val="0"/>
          <w:divBdr>
            <w:top w:val="none" w:sz="0" w:space="0" w:color="auto"/>
            <w:left w:val="none" w:sz="0" w:space="0" w:color="auto"/>
            <w:bottom w:val="none" w:sz="0" w:space="0" w:color="auto"/>
            <w:right w:val="none" w:sz="0" w:space="0" w:color="auto"/>
          </w:divBdr>
        </w:div>
        <w:div w:id="1770854479">
          <w:marLeft w:val="0"/>
          <w:marRight w:val="0"/>
          <w:marTop w:val="0"/>
          <w:marBottom w:val="0"/>
          <w:divBdr>
            <w:top w:val="none" w:sz="0" w:space="0" w:color="auto"/>
            <w:left w:val="none" w:sz="0" w:space="0" w:color="auto"/>
            <w:bottom w:val="none" w:sz="0" w:space="0" w:color="auto"/>
            <w:right w:val="none" w:sz="0" w:space="0" w:color="auto"/>
          </w:divBdr>
        </w:div>
        <w:div w:id="319965962">
          <w:marLeft w:val="0"/>
          <w:marRight w:val="0"/>
          <w:marTop w:val="0"/>
          <w:marBottom w:val="0"/>
          <w:divBdr>
            <w:top w:val="none" w:sz="0" w:space="0" w:color="auto"/>
            <w:left w:val="none" w:sz="0" w:space="0" w:color="auto"/>
            <w:bottom w:val="none" w:sz="0" w:space="0" w:color="auto"/>
            <w:right w:val="none" w:sz="0" w:space="0" w:color="auto"/>
          </w:divBdr>
        </w:div>
        <w:div w:id="1412385125">
          <w:marLeft w:val="0"/>
          <w:marRight w:val="0"/>
          <w:marTop w:val="0"/>
          <w:marBottom w:val="0"/>
          <w:divBdr>
            <w:top w:val="none" w:sz="0" w:space="0" w:color="auto"/>
            <w:left w:val="none" w:sz="0" w:space="0" w:color="auto"/>
            <w:bottom w:val="none" w:sz="0" w:space="0" w:color="auto"/>
            <w:right w:val="none" w:sz="0" w:space="0" w:color="auto"/>
          </w:divBdr>
        </w:div>
        <w:div w:id="1301426150">
          <w:marLeft w:val="0"/>
          <w:marRight w:val="0"/>
          <w:marTop w:val="0"/>
          <w:marBottom w:val="0"/>
          <w:divBdr>
            <w:top w:val="none" w:sz="0" w:space="0" w:color="auto"/>
            <w:left w:val="none" w:sz="0" w:space="0" w:color="auto"/>
            <w:bottom w:val="none" w:sz="0" w:space="0" w:color="auto"/>
            <w:right w:val="none" w:sz="0" w:space="0" w:color="auto"/>
          </w:divBdr>
        </w:div>
        <w:div w:id="716441424">
          <w:marLeft w:val="0"/>
          <w:marRight w:val="0"/>
          <w:marTop w:val="0"/>
          <w:marBottom w:val="0"/>
          <w:divBdr>
            <w:top w:val="none" w:sz="0" w:space="0" w:color="auto"/>
            <w:left w:val="none" w:sz="0" w:space="0" w:color="auto"/>
            <w:bottom w:val="none" w:sz="0" w:space="0" w:color="auto"/>
            <w:right w:val="none" w:sz="0" w:space="0" w:color="auto"/>
          </w:divBdr>
        </w:div>
        <w:div w:id="180627208">
          <w:marLeft w:val="0"/>
          <w:marRight w:val="0"/>
          <w:marTop w:val="0"/>
          <w:marBottom w:val="0"/>
          <w:divBdr>
            <w:top w:val="none" w:sz="0" w:space="0" w:color="auto"/>
            <w:left w:val="none" w:sz="0" w:space="0" w:color="auto"/>
            <w:bottom w:val="none" w:sz="0" w:space="0" w:color="auto"/>
            <w:right w:val="none" w:sz="0" w:space="0" w:color="auto"/>
          </w:divBdr>
        </w:div>
        <w:div w:id="1631470958">
          <w:marLeft w:val="0"/>
          <w:marRight w:val="0"/>
          <w:marTop w:val="0"/>
          <w:marBottom w:val="0"/>
          <w:divBdr>
            <w:top w:val="none" w:sz="0" w:space="0" w:color="auto"/>
            <w:left w:val="none" w:sz="0" w:space="0" w:color="auto"/>
            <w:bottom w:val="none" w:sz="0" w:space="0" w:color="auto"/>
            <w:right w:val="none" w:sz="0" w:space="0" w:color="auto"/>
          </w:divBdr>
        </w:div>
        <w:div w:id="952633979">
          <w:marLeft w:val="0"/>
          <w:marRight w:val="0"/>
          <w:marTop w:val="0"/>
          <w:marBottom w:val="0"/>
          <w:divBdr>
            <w:top w:val="none" w:sz="0" w:space="0" w:color="auto"/>
            <w:left w:val="none" w:sz="0" w:space="0" w:color="auto"/>
            <w:bottom w:val="none" w:sz="0" w:space="0" w:color="auto"/>
            <w:right w:val="none" w:sz="0" w:space="0" w:color="auto"/>
          </w:divBdr>
        </w:div>
        <w:div w:id="190264351">
          <w:marLeft w:val="0"/>
          <w:marRight w:val="0"/>
          <w:marTop w:val="0"/>
          <w:marBottom w:val="0"/>
          <w:divBdr>
            <w:top w:val="none" w:sz="0" w:space="0" w:color="auto"/>
            <w:left w:val="none" w:sz="0" w:space="0" w:color="auto"/>
            <w:bottom w:val="none" w:sz="0" w:space="0" w:color="auto"/>
            <w:right w:val="none" w:sz="0" w:space="0" w:color="auto"/>
          </w:divBdr>
        </w:div>
        <w:div w:id="561722269">
          <w:marLeft w:val="0"/>
          <w:marRight w:val="0"/>
          <w:marTop w:val="0"/>
          <w:marBottom w:val="0"/>
          <w:divBdr>
            <w:top w:val="none" w:sz="0" w:space="0" w:color="auto"/>
            <w:left w:val="none" w:sz="0" w:space="0" w:color="auto"/>
            <w:bottom w:val="none" w:sz="0" w:space="0" w:color="auto"/>
            <w:right w:val="none" w:sz="0" w:space="0" w:color="auto"/>
          </w:divBdr>
        </w:div>
        <w:div w:id="731347253">
          <w:marLeft w:val="0"/>
          <w:marRight w:val="0"/>
          <w:marTop w:val="0"/>
          <w:marBottom w:val="0"/>
          <w:divBdr>
            <w:top w:val="none" w:sz="0" w:space="0" w:color="auto"/>
            <w:left w:val="none" w:sz="0" w:space="0" w:color="auto"/>
            <w:bottom w:val="none" w:sz="0" w:space="0" w:color="auto"/>
            <w:right w:val="none" w:sz="0" w:space="0" w:color="auto"/>
          </w:divBdr>
        </w:div>
        <w:div w:id="511993315">
          <w:marLeft w:val="0"/>
          <w:marRight w:val="0"/>
          <w:marTop w:val="0"/>
          <w:marBottom w:val="0"/>
          <w:divBdr>
            <w:top w:val="none" w:sz="0" w:space="0" w:color="auto"/>
            <w:left w:val="none" w:sz="0" w:space="0" w:color="auto"/>
            <w:bottom w:val="none" w:sz="0" w:space="0" w:color="auto"/>
            <w:right w:val="none" w:sz="0" w:space="0" w:color="auto"/>
          </w:divBdr>
        </w:div>
      </w:divsChild>
    </w:div>
    <w:div w:id="1416243381">
      <w:bodyDiv w:val="1"/>
      <w:marLeft w:val="0"/>
      <w:marRight w:val="0"/>
      <w:marTop w:val="0"/>
      <w:marBottom w:val="0"/>
      <w:divBdr>
        <w:top w:val="none" w:sz="0" w:space="0" w:color="auto"/>
        <w:left w:val="none" w:sz="0" w:space="0" w:color="auto"/>
        <w:bottom w:val="none" w:sz="0" w:space="0" w:color="auto"/>
        <w:right w:val="none" w:sz="0" w:space="0" w:color="auto"/>
      </w:divBdr>
    </w:div>
    <w:div w:id="1600942431">
      <w:bodyDiv w:val="1"/>
      <w:marLeft w:val="0"/>
      <w:marRight w:val="0"/>
      <w:marTop w:val="0"/>
      <w:marBottom w:val="0"/>
      <w:divBdr>
        <w:top w:val="none" w:sz="0" w:space="0" w:color="auto"/>
        <w:left w:val="none" w:sz="0" w:space="0" w:color="auto"/>
        <w:bottom w:val="none" w:sz="0" w:space="0" w:color="auto"/>
        <w:right w:val="none" w:sz="0" w:space="0" w:color="auto"/>
      </w:divBdr>
    </w:div>
    <w:div w:id="1604411896">
      <w:bodyDiv w:val="1"/>
      <w:marLeft w:val="0"/>
      <w:marRight w:val="0"/>
      <w:marTop w:val="0"/>
      <w:marBottom w:val="0"/>
      <w:divBdr>
        <w:top w:val="none" w:sz="0" w:space="0" w:color="auto"/>
        <w:left w:val="none" w:sz="0" w:space="0" w:color="auto"/>
        <w:bottom w:val="none" w:sz="0" w:space="0" w:color="auto"/>
        <w:right w:val="none" w:sz="0" w:space="0" w:color="auto"/>
      </w:divBdr>
    </w:div>
    <w:div w:id="1822884465">
      <w:bodyDiv w:val="1"/>
      <w:marLeft w:val="0"/>
      <w:marRight w:val="0"/>
      <w:marTop w:val="0"/>
      <w:marBottom w:val="0"/>
      <w:divBdr>
        <w:top w:val="none" w:sz="0" w:space="0" w:color="auto"/>
        <w:left w:val="none" w:sz="0" w:space="0" w:color="auto"/>
        <w:bottom w:val="none" w:sz="0" w:space="0" w:color="auto"/>
        <w:right w:val="none" w:sz="0" w:space="0" w:color="auto"/>
      </w:divBdr>
    </w:div>
    <w:div w:id="1886866653">
      <w:bodyDiv w:val="1"/>
      <w:marLeft w:val="0"/>
      <w:marRight w:val="0"/>
      <w:marTop w:val="0"/>
      <w:marBottom w:val="0"/>
      <w:divBdr>
        <w:top w:val="none" w:sz="0" w:space="0" w:color="auto"/>
        <w:left w:val="none" w:sz="0" w:space="0" w:color="auto"/>
        <w:bottom w:val="none" w:sz="0" w:space="0" w:color="auto"/>
        <w:right w:val="none" w:sz="0" w:space="0" w:color="auto"/>
      </w:divBdr>
    </w:div>
    <w:div w:id="1959019984">
      <w:bodyDiv w:val="1"/>
      <w:marLeft w:val="0"/>
      <w:marRight w:val="0"/>
      <w:marTop w:val="0"/>
      <w:marBottom w:val="0"/>
      <w:divBdr>
        <w:top w:val="none" w:sz="0" w:space="0" w:color="auto"/>
        <w:left w:val="none" w:sz="0" w:space="0" w:color="auto"/>
        <w:bottom w:val="none" w:sz="0" w:space="0" w:color="auto"/>
        <w:right w:val="none" w:sz="0" w:space="0" w:color="auto"/>
      </w:divBdr>
    </w:div>
    <w:div w:id="2021392952">
      <w:bodyDiv w:val="1"/>
      <w:marLeft w:val="0"/>
      <w:marRight w:val="0"/>
      <w:marTop w:val="0"/>
      <w:marBottom w:val="0"/>
      <w:divBdr>
        <w:top w:val="none" w:sz="0" w:space="0" w:color="auto"/>
        <w:left w:val="none" w:sz="0" w:space="0" w:color="auto"/>
        <w:bottom w:val="none" w:sz="0" w:space="0" w:color="auto"/>
        <w:right w:val="none" w:sz="0" w:space="0" w:color="auto"/>
      </w:divBdr>
    </w:div>
    <w:div w:id="2033874119">
      <w:bodyDiv w:val="1"/>
      <w:marLeft w:val="0"/>
      <w:marRight w:val="0"/>
      <w:marTop w:val="0"/>
      <w:marBottom w:val="0"/>
      <w:divBdr>
        <w:top w:val="none" w:sz="0" w:space="0" w:color="auto"/>
        <w:left w:val="none" w:sz="0" w:space="0" w:color="auto"/>
        <w:bottom w:val="none" w:sz="0" w:space="0" w:color="auto"/>
        <w:right w:val="none" w:sz="0" w:space="0" w:color="auto"/>
      </w:divBdr>
    </w:div>
    <w:div w:id="214388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A30FDCB1774D448C3EFBD3EFB485AE" ma:contentTypeVersion="2" ma:contentTypeDescription="Create a new document." ma:contentTypeScope="" ma:versionID="be195806c83fdd93e347da645a3ce2ed">
  <xsd:schema xmlns:xsd="http://www.w3.org/2001/XMLSchema" xmlns:xs="http://www.w3.org/2001/XMLSchema" xmlns:p="http://schemas.microsoft.com/office/2006/metadata/properties" xmlns:ns3="cd58de81-2600-493a-b27c-3445a1d06d44" targetNamespace="http://schemas.microsoft.com/office/2006/metadata/properties" ma:root="true" ma:fieldsID="a24d70205af0b992b91f3c95e0c9410e" ns3:_="">
    <xsd:import namespace="cd58de81-2600-493a-b27c-3445a1d06d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de81-2600-493a-b27c-3445a1d06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012B5-CB5C-4346-8E4B-4C49AF317992}">
  <ds:schemaRefs>
    <ds:schemaRef ds:uri="http://purl.org/dc/elements/1.1/"/>
    <ds:schemaRef ds:uri="http://schemas.openxmlformats.org/package/2006/metadata/core-properties"/>
    <ds:schemaRef ds:uri="http://purl.org/dc/dcmitype/"/>
    <ds:schemaRef ds:uri="cd58de81-2600-493a-b27c-3445a1d06d44"/>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C432FC6-137A-4B92-94B9-760311D4129C}">
  <ds:schemaRefs>
    <ds:schemaRef ds:uri="http://schemas.openxmlformats.org/officeDocument/2006/bibliography"/>
  </ds:schemaRefs>
</ds:datastoreItem>
</file>

<file path=customXml/itemProps3.xml><?xml version="1.0" encoding="utf-8"?>
<ds:datastoreItem xmlns:ds="http://schemas.openxmlformats.org/officeDocument/2006/customXml" ds:itemID="{E1CF8637-6EA8-4F5B-8C72-F245AC79A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de81-2600-493a-b27c-3445a1d06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303D6-679B-496F-804C-E8278ADBE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Pipe</dc:creator>
  <cp:lastModifiedBy>Ravi Lockyer</cp:lastModifiedBy>
  <cp:revision>3</cp:revision>
  <cp:lastPrinted>2017-06-28T13:43:00Z</cp:lastPrinted>
  <dcterms:created xsi:type="dcterms:W3CDTF">2021-10-27T14:57:00Z</dcterms:created>
  <dcterms:modified xsi:type="dcterms:W3CDTF">2021-10-27T14:57:00Z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0x01010062A30FDCB1774D448C3EFBD3EFB485AE</vt:lpwstr>
  </property>
</Properties>
</file>