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
        <w:gridCol w:w="2674"/>
        <w:gridCol w:w="798"/>
        <w:gridCol w:w="7195"/>
      </w:tblGrid>
      <w:tr w:rsidR="005C2672" w:rsidRPr="001B10A5" w14:paraId="1D0C52FB" w14:textId="77777777" w:rsidTr="002F292C">
        <w:trPr>
          <w:gridBefore w:val="1"/>
          <w:wBefore w:w="73" w:type="dxa"/>
          <w:trHeight w:val="432"/>
        </w:trPr>
        <w:tc>
          <w:tcPr>
            <w:tcW w:w="3472" w:type="dxa"/>
            <w:gridSpan w:val="2"/>
            <w:tcBorders>
              <w:bottom w:val="single" w:sz="4" w:space="0" w:color="auto"/>
            </w:tcBorders>
            <w:shd w:val="clear" w:color="auto" w:fill="005E2A"/>
            <w:vAlign w:val="center"/>
          </w:tcPr>
          <w:p w14:paraId="061A9880" w14:textId="3796126A" w:rsidR="00F608C6" w:rsidRDefault="00F608C6" w:rsidP="000904CB">
            <w:pPr>
              <w:spacing w:before="240" w:after="240"/>
              <w:ind w:left="144"/>
              <w:rPr>
                <w:rFonts w:ascii="Open Sans Light" w:hAnsi="Open Sans Light"/>
                <w:sz w:val="40"/>
                <w:szCs w:val="40"/>
              </w:rPr>
            </w:pPr>
            <w:r w:rsidRPr="009A27F4">
              <w:rPr>
                <w:rFonts w:ascii="Open Sans Light" w:hAnsi="Open Sans Light"/>
                <w:color w:val="FFFFFF" w:themeColor="background1"/>
                <w:sz w:val="40"/>
                <w:szCs w:val="40"/>
              </w:rPr>
              <w:t>Equity Research</w:t>
            </w:r>
            <w:r w:rsidR="00552F05" w:rsidRPr="009A27F4">
              <w:rPr>
                <w:rFonts w:ascii="Open Sans Light" w:hAnsi="Open Sans Light"/>
                <w:color w:val="FFFFFF" w:themeColor="background1"/>
                <w:sz w:val="40"/>
                <w:szCs w:val="40"/>
              </w:rPr>
              <w:t>;</w:t>
            </w:r>
            <w:r w:rsidR="00F6339C" w:rsidRPr="009A27F4">
              <w:rPr>
                <w:rFonts w:ascii="Open Sans Light" w:hAnsi="Open Sans Light"/>
                <w:color w:val="FFFFFF" w:themeColor="background1"/>
                <w:sz w:val="40"/>
                <w:szCs w:val="40"/>
              </w:rPr>
              <w:t xml:space="preserve"> </w:t>
            </w:r>
            <w:r w:rsidR="00CD75B9">
              <w:rPr>
                <w:rFonts w:ascii="Open Sans Light" w:hAnsi="Open Sans Light"/>
                <w:color w:val="FFFFFF" w:themeColor="background1"/>
                <w:sz w:val="40"/>
                <w:szCs w:val="40"/>
              </w:rPr>
              <w:t>C-19 roll-out underway</w:t>
            </w:r>
            <w:r w:rsidR="00614B57">
              <w:rPr>
                <w:rFonts w:ascii="Open Sans Light" w:hAnsi="Open Sans Light"/>
                <w:color w:val="FFFFFF" w:themeColor="background1"/>
                <w:sz w:val="40"/>
                <w:szCs w:val="40"/>
              </w:rPr>
              <w:t xml:space="preserve"> </w:t>
            </w:r>
          </w:p>
        </w:tc>
        <w:tc>
          <w:tcPr>
            <w:tcW w:w="7195" w:type="dxa"/>
            <w:tcBorders>
              <w:bottom w:val="single" w:sz="4" w:space="0" w:color="auto"/>
            </w:tcBorders>
            <w:shd w:val="clear" w:color="auto" w:fill="005E2A"/>
            <w:vAlign w:val="center"/>
          </w:tcPr>
          <w:p w14:paraId="5D6C4127" w14:textId="7A6815D5" w:rsidR="00F608C6" w:rsidRPr="001B10A5" w:rsidRDefault="00F608C6" w:rsidP="001D4E4E">
            <w:pPr>
              <w:spacing w:before="240" w:after="240"/>
              <w:ind w:right="144"/>
              <w:jc w:val="right"/>
              <w:rPr>
                <w:rFonts w:ascii="Open Sans Light" w:hAnsi="Open Sans Light"/>
                <w:sz w:val="40"/>
                <w:szCs w:val="40"/>
              </w:rPr>
            </w:pPr>
            <w:r>
              <w:rPr>
                <w:rFonts w:ascii="Open Sans Light" w:hAnsi="Open Sans Light"/>
                <w:noProof/>
                <w:sz w:val="40"/>
                <w:szCs w:val="40"/>
                <w:lang w:val="en-GB" w:eastAsia="en-GB"/>
              </w:rPr>
              <w:drawing>
                <wp:inline distT="0" distB="0" distL="0" distR="0" wp14:anchorId="05D41771" wp14:editId="3AB447B1">
                  <wp:extent cx="2348630" cy="222715"/>
                  <wp:effectExtent l="0" t="0" r="0" b="6350"/>
                  <wp:docPr id="6" name="Picture 6" descr="../../../../Downloads/c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wnloads/css-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8630" cy="222715"/>
                          </a:xfrm>
                          <a:prstGeom prst="rect">
                            <a:avLst/>
                          </a:prstGeom>
                          <a:noFill/>
                          <a:ln>
                            <a:noFill/>
                          </a:ln>
                        </pic:spPr>
                      </pic:pic>
                    </a:graphicData>
                  </a:graphic>
                </wp:inline>
              </w:drawing>
            </w:r>
          </w:p>
        </w:tc>
      </w:tr>
      <w:tr w:rsidR="005C2672" w:rsidRPr="001B10A5" w14:paraId="26093F8F" w14:textId="77777777" w:rsidTr="002F292C">
        <w:tblPrEx>
          <w:tblCellMar>
            <w:left w:w="108" w:type="dxa"/>
            <w:right w:w="108" w:type="dxa"/>
          </w:tblCellMar>
        </w:tblPrEx>
        <w:trPr>
          <w:gridBefore w:val="1"/>
          <w:wBefore w:w="73" w:type="dxa"/>
          <w:trHeight w:val="345"/>
        </w:trPr>
        <w:tc>
          <w:tcPr>
            <w:tcW w:w="2674" w:type="dxa"/>
            <w:tcBorders>
              <w:top w:val="single" w:sz="48" w:space="0" w:color="FFFFFF"/>
              <w:right w:val="single" w:sz="48" w:space="0" w:color="FFFFFF"/>
            </w:tcBorders>
          </w:tcPr>
          <w:tbl>
            <w:tblPr>
              <w:tblStyle w:val="TableGrid"/>
              <w:tblW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tblGrid>
            <w:tr w:rsidR="002366E3" w:rsidRPr="002366E3" w14:paraId="79DFC852" w14:textId="77777777" w:rsidTr="004D2579">
              <w:tc>
                <w:tcPr>
                  <w:tcW w:w="2880" w:type="dxa"/>
                  <w:tcBorders>
                    <w:bottom w:val="single" w:sz="24" w:space="0" w:color="FFFFFF" w:themeColor="background1"/>
                  </w:tcBorders>
                  <w:shd w:val="clear" w:color="auto" w:fill="005D2A"/>
                </w:tcPr>
                <w:p w14:paraId="6D268596" w14:textId="1914E34F" w:rsidR="002366E3" w:rsidRPr="002366E3" w:rsidRDefault="002366E3" w:rsidP="0014734B">
                  <w:pPr>
                    <w:spacing w:before="100" w:after="100"/>
                    <w:rPr>
                      <w:rFonts w:ascii="Open Sans Light" w:hAnsi="Open Sans Light"/>
                      <w:sz w:val="22"/>
                    </w:rPr>
                  </w:pPr>
                  <w:r w:rsidRPr="002366E3">
                    <w:rPr>
                      <w:rFonts w:ascii="Open Sans Light" w:hAnsi="Open Sans Light"/>
                    </w:rPr>
                    <w:t>Research Report</w:t>
                  </w:r>
                </w:p>
              </w:tc>
            </w:tr>
            <w:tr w:rsidR="002366E3" w:rsidRPr="002366E3" w14:paraId="6001998E" w14:textId="77777777" w:rsidTr="004D2579">
              <w:tc>
                <w:tcPr>
                  <w:tcW w:w="2880" w:type="dxa"/>
                  <w:tcBorders>
                    <w:top w:val="single" w:sz="24" w:space="0" w:color="FFFFFF" w:themeColor="background1"/>
                  </w:tcBorders>
                  <w:shd w:val="clear" w:color="auto" w:fill="E7E6E6" w:themeFill="background2"/>
                </w:tcPr>
                <w:p w14:paraId="2627CD74" w14:textId="34337C3D" w:rsidR="002366E3" w:rsidRPr="002366E3" w:rsidRDefault="002366E3" w:rsidP="00D20604">
                  <w:pPr>
                    <w:spacing w:before="60" w:after="60"/>
                    <w:rPr>
                      <w:rFonts w:ascii="Open Sans Light" w:hAnsi="Open Sans Light"/>
                      <w:sz w:val="22"/>
                    </w:rPr>
                  </w:pPr>
                  <w:r w:rsidRPr="002366E3">
                    <w:rPr>
                      <w:rFonts w:ascii="Open Sans Light" w:hAnsi="Open Sans Light"/>
                      <w:sz w:val="22"/>
                    </w:rPr>
                    <w:t>Report Date</w:t>
                  </w:r>
                </w:p>
              </w:tc>
            </w:tr>
            <w:tr w:rsidR="002366E3" w:rsidRPr="002366E3" w14:paraId="3F6290F7" w14:textId="77777777" w:rsidTr="004D2579">
              <w:trPr>
                <w:trHeight w:val="585"/>
              </w:trPr>
              <w:tc>
                <w:tcPr>
                  <w:tcW w:w="2880" w:type="dxa"/>
                </w:tcPr>
                <w:p w14:paraId="386CC231" w14:textId="1B3398A8" w:rsidR="002366E3" w:rsidRPr="002366E3" w:rsidRDefault="00A748E7" w:rsidP="00DC5CD7">
                  <w:pPr>
                    <w:spacing w:before="60" w:after="60"/>
                    <w:rPr>
                      <w:rFonts w:ascii="Open Sans Light" w:hAnsi="Open Sans Light"/>
                      <w:sz w:val="22"/>
                    </w:rPr>
                  </w:pPr>
                  <w:r>
                    <w:rPr>
                      <w:rFonts w:ascii="Open Sans Light" w:hAnsi="Open Sans Light"/>
                      <w:sz w:val="22"/>
                    </w:rPr>
                    <w:t>1</w:t>
                  </w:r>
                  <w:r w:rsidR="00CD75B9">
                    <w:rPr>
                      <w:rFonts w:ascii="Open Sans Light" w:hAnsi="Open Sans Light"/>
                      <w:sz w:val="22"/>
                    </w:rPr>
                    <w:t>5</w:t>
                  </w:r>
                  <w:r w:rsidR="007D4569">
                    <w:rPr>
                      <w:rFonts w:ascii="Open Sans Light" w:hAnsi="Open Sans Light"/>
                      <w:sz w:val="22"/>
                    </w:rPr>
                    <w:t>th</w:t>
                  </w:r>
                  <w:r w:rsidR="00F6339C">
                    <w:rPr>
                      <w:rFonts w:ascii="Open Sans Light" w:hAnsi="Open Sans Light"/>
                      <w:sz w:val="22"/>
                    </w:rPr>
                    <w:t xml:space="preserve"> </w:t>
                  </w:r>
                  <w:r w:rsidR="00CD75B9">
                    <w:rPr>
                      <w:rFonts w:ascii="Open Sans Light" w:hAnsi="Open Sans Light"/>
                      <w:sz w:val="22"/>
                    </w:rPr>
                    <w:t>February</w:t>
                  </w:r>
                  <w:r w:rsidR="0000025A">
                    <w:rPr>
                      <w:rFonts w:ascii="Open Sans Light" w:hAnsi="Open Sans Light"/>
                      <w:sz w:val="22"/>
                    </w:rPr>
                    <w:t xml:space="preserve"> 20</w:t>
                  </w:r>
                  <w:r w:rsidR="009262D5">
                    <w:rPr>
                      <w:rFonts w:ascii="Open Sans Light" w:hAnsi="Open Sans Light"/>
                      <w:sz w:val="22"/>
                    </w:rPr>
                    <w:t>2</w:t>
                  </w:r>
                  <w:r w:rsidR="00CD75B9">
                    <w:rPr>
                      <w:rFonts w:ascii="Open Sans Light" w:hAnsi="Open Sans Light"/>
                      <w:sz w:val="22"/>
                    </w:rPr>
                    <w:t>1</w:t>
                  </w:r>
                </w:p>
              </w:tc>
            </w:tr>
            <w:tr w:rsidR="002366E3" w:rsidRPr="002366E3" w14:paraId="01C5EC3B" w14:textId="77777777" w:rsidTr="004D2579">
              <w:tc>
                <w:tcPr>
                  <w:tcW w:w="2880" w:type="dxa"/>
                  <w:shd w:val="clear" w:color="auto" w:fill="E7E6E6" w:themeFill="background2"/>
                </w:tcPr>
                <w:p w14:paraId="3B3F2D9E" w14:textId="0D0159DE" w:rsidR="002366E3" w:rsidRPr="002366E3" w:rsidRDefault="002366E3" w:rsidP="00D20604">
                  <w:pPr>
                    <w:spacing w:before="60" w:after="60"/>
                    <w:rPr>
                      <w:rFonts w:ascii="Open Sans Light" w:hAnsi="Open Sans Light"/>
                      <w:sz w:val="22"/>
                    </w:rPr>
                  </w:pPr>
                  <w:r w:rsidRPr="002366E3">
                    <w:rPr>
                      <w:rFonts w:ascii="Open Sans Light" w:hAnsi="Open Sans Light"/>
                      <w:sz w:val="22"/>
                    </w:rPr>
                    <w:t>Analyst</w:t>
                  </w:r>
                </w:p>
              </w:tc>
            </w:tr>
            <w:tr w:rsidR="002366E3" w:rsidRPr="002366E3" w14:paraId="3B43D447" w14:textId="77777777" w:rsidTr="004D2579">
              <w:trPr>
                <w:trHeight w:val="1107"/>
              </w:trPr>
              <w:tc>
                <w:tcPr>
                  <w:tcW w:w="2880" w:type="dxa"/>
                </w:tcPr>
                <w:p w14:paraId="61C83D48" w14:textId="7854AB20" w:rsidR="00D20604" w:rsidRPr="002366E3" w:rsidRDefault="002366E3" w:rsidP="00D20604">
                  <w:pPr>
                    <w:spacing w:before="60" w:after="60"/>
                    <w:rPr>
                      <w:rFonts w:ascii="Open Sans Light" w:hAnsi="Open Sans Light"/>
                      <w:sz w:val="22"/>
                    </w:rPr>
                  </w:pPr>
                  <w:r w:rsidRPr="002366E3">
                    <w:rPr>
                      <w:rFonts w:ascii="Open Sans Light" w:hAnsi="Open Sans Light"/>
                      <w:sz w:val="22"/>
                    </w:rPr>
                    <w:t>Ravi Lockyer MSc Llb</w:t>
                  </w:r>
                  <w:r w:rsidR="00352A25">
                    <w:rPr>
                      <w:rFonts w:ascii="Open Sans Light" w:hAnsi="Open Sans Light"/>
                      <w:sz w:val="22"/>
                    </w:rPr>
                    <w:t xml:space="preserve"> ASCI</w:t>
                  </w:r>
                </w:p>
                <w:p w14:paraId="21044124" w14:textId="723A1A5D" w:rsidR="002366E3" w:rsidRPr="002366E3" w:rsidRDefault="002366E3" w:rsidP="00D20604">
                  <w:pPr>
                    <w:spacing w:before="60" w:after="60"/>
                    <w:rPr>
                      <w:rFonts w:ascii="Open Sans Light" w:hAnsi="Open Sans Light"/>
                      <w:sz w:val="22"/>
                    </w:rPr>
                  </w:pPr>
                  <w:r w:rsidRPr="00F30F79">
                    <w:rPr>
                      <w:rFonts w:ascii="Open Sans Light" w:hAnsi="Open Sans Light"/>
                      <w:sz w:val="20"/>
                    </w:rPr>
                    <w:t>Collins Sarri Statham Investments Ltd</w:t>
                  </w:r>
                </w:p>
              </w:tc>
            </w:tr>
            <w:tr w:rsidR="00FF4B84" w:rsidRPr="002366E3" w14:paraId="2D0424F1" w14:textId="77777777" w:rsidTr="004D2579">
              <w:trPr>
                <w:trHeight w:val="468"/>
              </w:trPr>
              <w:tc>
                <w:tcPr>
                  <w:tcW w:w="2880" w:type="dxa"/>
                  <w:shd w:val="clear" w:color="auto" w:fill="E7E6E6"/>
                </w:tcPr>
                <w:p w14:paraId="71999C0A" w14:textId="07416B31" w:rsidR="00FF4B84" w:rsidRDefault="00FF4B84" w:rsidP="00D20604">
                  <w:pPr>
                    <w:spacing w:before="60" w:after="60"/>
                    <w:rPr>
                      <w:rFonts w:ascii="Open Sans Light" w:hAnsi="Open Sans Light"/>
                      <w:sz w:val="22"/>
                    </w:rPr>
                  </w:pPr>
                  <w:r w:rsidRPr="00FF4B84">
                    <w:rPr>
                      <w:rFonts w:ascii="Open Sans Light" w:hAnsi="Open Sans Light"/>
                      <w:sz w:val="22"/>
                    </w:rPr>
                    <w:t>Key Risks to Price</w:t>
                  </w:r>
                  <w:r>
                    <w:rPr>
                      <w:rFonts w:ascii="Open Sans Light" w:hAnsi="Open Sans Light"/>
                      <w:sz w:val="22"/>
                    </w:rPr>
                    <w:t xml:space="preserve"> </w:t>
                  </w:r>
                  <w:r w:rsidRPr="00FF4B84">
                    <w:rPr>
                      <w:rFonts w:ascii="Open Sans Light" w:hAnsi="Open Sans Light"/>
                      <w:sz w:val="22"/>
                    </w:rPr>
                    <w:t>Target</w:t>
                  </w:r>
                </w:p>
              </w:tc>
            </w:tr>
            <w:tr w:rsidR="00FF4B84" w:rsidRPr="002366E3" w14:paraId="61BCDE04" w14:textId="77777777" w:rsidTr="004D2579">
              <w:trPr>
                <w:trHeight w:val="1449"/>
              </w:trPr>
              <w:tc>
                <w:tcPr>
                  <w:tcW w:w="2880" w:type="dxa"/>
                </w:tcPr>
                <w:p w14:paraId="2FEB1DE4" w14:textId="7CCCE2BA" w:rsidR="00E2304F" w:rsidRDefault="00E2304F" w:rsidP="00E2304F">
                  <w:pPr>
                    <w:spacing w:before="60" w:after="60"/>
                    <w:rPr>
                      <w:rFonts w:ascii="Open Sans Light" w:hAnsi="Open Sans Light"/>
                      <w:sz w:val="22"/>
                    </w:rPr>
                  </w:pPr>
                  <w:r>
                    <w:rPr>
                      <w:rFonts w:ascii="Open Sans Light" w:hAnsi="Open Sans Light"/>
                      <w:sz w:val="22"/>
                    </w:rPr>
                    <w:t>Not applicable</w:t>
                  </w:r>
                </w:p>
                <w:p w14:paraId="48915BF0" w14:textId="77777777" w:rsidR="00E2304F" w:rsidRDefault="00E2304F" w:rsidP="00E2304F">
                  <w:pPr>
                    <w:spacing w:before="60" w:after="60"/>
                    <w:rPr>
                      <w:rFonts w:ascii="Open Sans Light" w:hAnsi="Open Sans Light"/>
                      <w:sz w:val="22"/>
                    </w:rPr>
                  </w:pPr>
                </w:p>
                <w:p w14:paraId="03D6C7D5" w14:textId="69E67131" w:rsidR="00FF4B84" w:rsidRPr="00FF4B84" w:rsidRDefault="00FF4B84" w:rsidP="00E2304F">
                  <w:pPr>
                    <w:spacing w:before="60" w:after="60"/>
                    <w:rPr>
                      <w:rFonts w:ascii="Open Sans Light" w:hAnsi="Open Sans Light"/>
                      <w:i/>
                      <w:sz w:val="22"/>
                    </w:rPr>
                  </w:pPr>
                  <w:r w:rsidRPr="00FF4B84">
                    <w:rPr>
                      <w:rFonts w:ascii="Open Sans Light" w:hAnsi="Open Sans Light"/>
                      <w:i/>
                      <w:sz w:val="22"/>
                    </w:rPr>
                    <w:t>Please note the risk warnings and disclaimers on the last page of this document.</w:t>
                  </w:r>
                </w:p>
              </w:tc>
            </w:tr>
            <w:tr w:rsidR="00FF4B84" w:rsidRPr="002366E3" w14:paraId="42CD9014" w14:textId="77777777" w:rsidTr="004D2579">
              <w:trPr>
                <w:trHeight w:val="441"/>
              </w:trPr>
              <w:tc>
                <w:tcPr>
                  <w:tcW w:w="2880" w:type="dxa"/>
                  <w:shd w:val="clear" w:color="auto" w:fill="E7E6E6"/>
                </w:tcPr>
                <w:p w14:paraId="1C2E99C3" w14:textId="3AA5390F" w:rsidR="00FF4B84" w:rsidRPr="00FF4B84" w:rsidRDefault="00FF4B84" w:rsidP="00FF4B84">
                  <w:pPr>
                    <w:spacing w:before="60" w:after="60"/>
                    <w:rPr>
                      <w:rFonts w:ascii="Open Sans Light" w:hAnsi="Open Sans Light"/>
                      <w:sz w:val="22"/>
                    </w:rPr>
                  </w:pPr>
                </w:p>
              </w:tc>
            </w:tr>
          </w:tbl>
          <w:p w14:paraId="1337C626" w14:textId="7C4EDF1A" w:rsidR="001B10A5" w:rsidRPr="001B10A5" w:rsidRDefault="001B10A5" w:rsidP="0014734B">
            <w:pPr>
              <w:rPr>
                <w:rFonts w:ascii="Open Sans Light" w:hAnsi="Open Sans Light"/>
              </w:rPr>
            </w:pPr>
          </w:p>
        </w:tc>
        <w:tc>
          <w:tcPr>
            <w:tcW w:w="7993" w:type="dxa"/>
            <w:gridSpan w:val="2"/>
            <w:tcBorders>
              <w:top w:val="single" w:sz="48" w:space="0" w:color="FFFFFF"/>
              <w:left w:val="single" w:sz="48" w:space="0" w:color="FFFFFF"/>
            </w:tcBorders>
          </w:tcPr>
          <w:p w14:paraId="084064E7" w14:textId="26B50660" w:rsidR="00DF6A8E" w:rsidRPr="00802AB8" w:rsidRDefault="00CD75B9" w:rsidP="00636E68">
            <w:pPr>
              <w:spacing w:after="120"/>
              <w:jc w:val="both"/>
              <w:rPr>
                <w:rFonts w:ascii="Open Sans Semibold" w:hAnsi="Open Sans Semibold"/>
                <w:color w:val="005D2A"/>
                <w:sz w:val="32"/>
              </w:rPr>
            </w:pPr>
            <w:r>
              <w:rPr>
                <w:rFonts w:ascii="Open Sans Semibold" w:hAnsi="Open Sans Semibold"/>
                <w:color w:val="005D2A"/>
                <w:sz w:val="32"/>
              </w:rPr>
              <w:t>C-19 vaccine roll-out gathers pace</w:t>
            </w:r>
          </w:p>
          <w:p w14:paraId="44B103C6" w14:textId="252AEC89" w:rsidR="002F292C" w:rsidRDefault="00AA5DBD" w:rsidP="0056504E">
            <w:pPr>
              <w:spacing w:before="120" w:after="120"/>
              <w:jc w:val="both"/>
              <w:rPr>
                <w:rFonts w:ascii="Open Sans Light" w:hAnsi="Open Sans Light"/>
                <w:sz w:val="22"/>
                <w:szCs w:val="22"/>
              </w:rPr>
            </w:pPr>
            <w:r>
              <w:rPr>
                <w:rFonts w:ascii="Open Sans Light" w:hAnsi="Open Sans Light"/>
                <w:sz w:val="22"/>
                <w:szCs w:val="22"/>
              </w:rPr>
              <w:t>There is</w:t>
            </w:r>
            <w:r w:rsidR="0056504E" w:rsidRPr="001311FB">
              <w:rPr>
                <w:rFonts w:ascii="Open Sans Light" w:hAnsi="Open Sans Light"/>
                <w:sz w:val="22"/>
                <w:szCs w:val="22"/>
              </w:rPr>
              <w:t xml:space="preserve"> </w:t>
            </w:r>
            <w:r w:rsidR="00682F13">
              <w:rPr>
                <w:rFonts w:ascii="Open Sans Light" w:hAnsi="Open Sans Light"/>
                <w:sz w:val="22"/>
                <w:szCs w:val="22"/>
              </w:rPr>
              <w:t>high</w:t>
            </w:r>
            <w:r w:rsidR="0029595D">
              <w:rPr>
                <w:rFonts w:ascii="Open Sans Light" w:hAnsi="Open Sans Light"/>
                <w:sz w:val="22"/>
                <w:szCs w:val="22"/>
              </w:rPr>
              <w:t xml:space="preserve"> </w:t>
            </w:r>
            <w:r w:rsidR="0056504E" w:rsidRPr="001311FB">
              <w:rPr>
                <w:rFonts w:ascii="Open Sans Light" w:hAnsi="Open Sans Light"/>
                <w:sz w:val="22"/>
                <w:szCs w:val="22"/>
              </w:rPr>
              <w:t>confiden</w:t>
            </w:r>
            <w:r>
              <w:rPr>
                <w:rFonts w:ascii="Open Sans Light" w:hAnsi="Open Sans Light"/>
                <w:sz w:val="22"/>
                <w:szCs w:val="22"/>
              </w:rPr>
              <w:t>ce</w:t>
            </w:r>
            <w:r w:rsidR="0056504E" w:rsidRPr="001311FB">
              <w:rPr>
                <w:rFonts w:ascii="Open Sans Light" w:hAnsi="Open Sans Light"/>
                <w:b/>
                <w:bCs/>
                <w:sz w:val="22"/>
                <w:szCs w:val="22"/>
              </w:rPr>
              <w:t xml:space="preserve"> </w:t>
            </w:r>
            <w:r w:rsidR="0029595D">
              <w:rPr>
                <w:rFonts w:ascii="Open Sans Light" w:hAnsi="Open Sans Light"/>
                <w:sz w:val="22"/>
                <w:szCs w:val="22"/>
              </w:rPr>
              <w:t>in</w:t>
            </w:r>
            <w:r w:rsidR="00746B23">
              <w:rPr>
                <w:rFonts w:ascii="Open Sans Light" w:hAnsi="Open Sans Light"/>
                <w:sz w:val="22"/>
                <w:szCs w:val="22"/>
              </w:rPr>
              <w:t xml:space="preserve"> UK c-19 vaccine </w:t>
            </w:r>
            <w:r w:rsidR="001311FB" w:rsidRPr="001311FB">
              <w:rPr>
                <w:rFonts w:ascii="Open Sans Light" w:hAnsi="Open Sans Light"/>
                <w:sz w:val="22"/>
                <w:szCs w:val="22"/>
              </w:rPr>
              <w:t xml:space="preserve">deployment </w:t>
            </w:r>
            <w:r w:rsidR="001311FB">
              <w:rPr>
                <w:rFonts w:ascii="Open Sans Light" w:hAnsi="Open Sans Light"/>
                <w:sz w:val="22"/>
                <w:szCs w:val="22"/>
              </w:rPr>
              <w:t>over H1 2021.</w:t>
            </w:r>
            <w:r w:rsidR="00746B23">
              <w:rPr>
                <w:rFonts w:ascii="Open Sans Light" w:hAnsi="Open Sans Light"/>
                <w:sz w:val="22"/>
                <w:szCs w:val="22"/>
              </w:rPr>
              <w:t xml:space="preserve"> </w:t>
            </w:r>
            <w:r w:rsidR="007D10A5">
              <w:rPr>
                <w:rFonts w:ascii="Open Sans Light" w:hAnsi="Open Sans Light"/>
                <w:sz w:val="22"/>
                <w:szCs w:val="22"/>
              </w:rPr>
              <w:t xml:space="preserve">We </w:t>
            </w:r>
            <w:r w:rsidR="009F2CBA">
              <w:rPr>
                <w:rFonts w:ascii="Open Sans Light" w:hAnsi="Open Sans Light"/>
                <w:sz w:val="22"/>
                <w:szCs w:val="22"/>
              </w:rPr>
              <w:t>have</w:t>
            </w:r>
            <w:r w:rsidR="007D10A5">
              <w:rPr>
                <w:rFonts w:ascii="Open Sans Light" w:hAnsi="Open Sans Light"/>
                <w:sz w:val="22"/>
                <w:szCs w:val="22"/>
              </w:rPr>
              <w:t xml:space="preserve"> hit the 15m target</w:t>
            </w:r>
            <w:r w:rsidR="00180630">
              <w:rPr>
                <w:rFonts w:ascii="Open Sans Light" w:hAnsi="Open Sans Light"/>
                <w:sz w:val="22"/>
                <w:szCs w:val="22"/>
              </w:rPr>
              <w:t xml:space="preserve"> (top four priority groups)</w:t>
            </w:r>
            <w:r w:rsidR="007D10A5">
              <w:rPr>
                <w:rFonts w:ascii="Open Sans Light" w:hAnsi="Open Sans Light"/>
                <w:sz w:val="22"/>
                <w:szCs w:val="22"/>
              </w:rPr>
              <w:t xml:space="preserve"> for initial vaccinations </w:t>
            </w:r>
            <w:r w:rsidR="009F2CBA">
              <w:rPr>
                <w:rFonts w:ascii="Open Sans Light" w:hAnsi="Open Sans Light"/>
                <w:sz w:val="22"/>
                <w:szCs w:val="22"/>
              </w:rPr>
              <w:t>a day ahead of schedule</w:t>
            </w:r>
            <w:r w:rsidR="001773EC">
              <w:rPr>
                <w:rFonts w:ascii="Open Sans Light" w:hAnsi="Open Sans Light"/>
                <w:sz w:val="22"/>
                <w:szCs w:val="22"/>
              </w:rPr>
              <w:t>,</w:t>
            </w:r>
            <w:r w:rsidR="00180630">
              <w:rPr>
                <w:rFonts w:ascii="Open Sans Light" w:hAnsi="Open Sans Light"/>
                <w:sz w:val="22"/>
                <w:szCs w:val="22"/>
              </w:rPr>
              <w:t xml:space="preserve"> (10.4m: 4</w:t>
            </w:r>
            <w:r w:rsidR="00180630" w:rsidRPr="00180630">
              <w:rPr>
                <w:rFonts w:ascii="Open Sans Light" w:hAnsi="Open Sans Light"/>
                <w:sz w:val="22"/>
                <w:szCs w:val="22"/>
                <w:vertAlign w:val="superscript"/>
              </w:rPr>
              <w:t>th</w:t>
            </w:r>
            <w:r w:rsidR="00180630">
              <w:rPr>
                <w:rFonts w:ascii="Open Sans Light" w:hAnsi="Open Sans Light"/>
                <w:sz w:val="22"/>
                <w:szCs w:val="22"/>
              </w:rPr>
              <w:t xml:space="preserve"> February 2021)</w:t>
            </w:r>
            <w:r>
              <w:rPr>
                <w:rFonts w:ascii="Open Sans Light" w:hAnsi="Open Sans Light"/>
                <w:sz w:val="22"/>
                <w:szCs w:val="22"/>
              </w:rPr>
              <w:t>.</w:t>
            </w:r>
            <w:r w:rsidR="0029595D">
              <w:rPr>
                <w:rFonts w:ascii="Open Sans Light" w:hAnsi="Open Sans Light"/>
                <w:sz w:val="22"/>
                <w:szCs w:val="22"/>
              </w:rPr>
              <w:t xml:space="preserve"> </w:t>
            </w:r>
            <w:r w:rsidR="00682F13">
              <w:rPr>
                <w:rFonts w:ascii="Open Sans Light" w:hAnsi="Open Sans Light"/>
                <w:sz w:val="22"/>
                <w:szCs w:val="22"/>
              </w:rPr>
              <w:t xml:space="preserve">The UK has started on the 65-70 age group. </w:t>
            </w:r>
            <w:r w:rsidR="0029595D">
              <w:rPr>
                <w:rFonts w:ascii="Open Sans Light" w:hAnsi="Open Sans Light"/>
                <w:sz w:val="22"/>
                <w:szCs w:val="22"/>
              </w:rPr>
              <w:t>Furthermore the target to first dose the 50+ age group by May 6</w:t>
            </w:r>
            <w:r w:rsidR="0029595D" w:rsidRPr="0029595D">
              <w:rPr>
                <w:rFonts w:ascii="Open Sans Light" w:hAnsi="Open Sans Light"/>
                <w:sz w:val="22"/>
                <w:szCs w:val="22"/>
                <w:vertAlign w:val="superscript"/>
              </w:rPr>
              <w:t>th</w:t>
            </w:r>
            <w:r w:rsidR="0029595D">
              <w:rPr>
                <w:rFonts w:ascii="Open Sans Light" w:hAnsi="Open Sans Light"/>
                <w:sz w:val="22"/>
                <w:szCs w:val="22"/>
              </w:rPr>
              <w:t xml:space="preserve"> looks achievable.</w:t>
            </w:r>
          </w:p>
          <w:p w14:paraId="7FEABDB9" w14:textId="39CA6B22" w:rsidR="0029595D" w:rsidRDefault="002F292C" w:rsidP="0056504E">
            <w:pPr>
              <w:spacing w:before="120" w:after="120"/>
              <w:jc w:val="both"/>
              <w:rPr>
                <w:rFonts w:ascii="Open Sans Light" w:hAnsi="Open Sans Light"/>
                <w:sz w:val="22"/>
                <w:szCs w:val="22"/>
              </w:rPr>
            </w:pPr>
            <w:r>
              <w:rPr>
                <w:noProof/>
              </w:rPr>
              <w:drawing>
                <wp:inline distT="0" distB="0" distL="0" distR="0" wp14:anchorId="257CBC96" wp14:editId="681F1257">
                  <wp:extent cx="4572000" cy="2743200"/>
                  <wp:effectExtent l="0" t="0" r="0" b="0"/>
                  <wp:docPr id="3" name="Chart 3">
                    <a:extLst xmlns:a="http://schemas.openxmlformats.org/drawingml/2006/main">
                      <a:ext uri="{FF2B5EF4-FFF2-40B4-BE49-F238E27FC236}">
                        <a16:creationId xmlns:a16="http://schemas.microsoft.com/office/drawing/2014/main" id="{5EB2C6B4-6924-4E16-88CB-DDC8E16641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3AD1EDA" w14:textId="0EB3FC17" w:rsidR="001E0F1B" w:rsidRDefault="002F292C" w:rsidP="0056504E">
            <w:pPr>
              <w:spacing w:before="120" w:after="120"/>
              <w:jc w:val="both"/>
              <w:rPr>
                <w:rFonts w:ascii="Open Sans Light" w:hAnsi="Open Sans Light"/>
                <w:sz w:val="22"/>
                <w:szCs w:val="22"/>
              </w:rPr>
            </w:pPr>
            <w:r>
              <w:rPr>
                <w:rFonts w:ascii="Open Sans Light" w:hAnsi="Open Sans Light"/>
                <w:sz w:val="22"/>
                <w:szCs w:val="22"/>
              </w:rPr>
              <w:t>Source; CSS Investments Ltd</w:t>
            </w:r>
          </w:p>
          <w:p w14:paraId="3960EBB0" w14:textId="1C2B42B5" w:rsidR="00EF3AF0" w:rsidRDefault="001773EC" w:rsidP="0056504E">
            <w:pPr>
              <w:spacing w:before="120" w:after="120"/>
              <w:jc w:val="both"/>
              <w:rPr>
                <w:rFonts w:ascii="Open Sans Light" w:hAnsi="Open Sans Light"/>
                <w:sz w:val="22"/>
                <w:szCs w:val="22"/>
              </w:rPr>
            </w:pPr>
            <w:r>
              <w:rPr>
                <w:rFonts w:ascii="Open Sans Light" w:hAnsi="Open Sans Light"/>
                <w:sz w:val="22"/>
                <w:szCs w:val="22"/>
              </w:rPr>
              <w:t>U</w:t>
            </w:r>
            <w:r w:rsidR="00AA5DBD">
              <w:rPr>
                <w:rFonts w:ascii="Open Sans Light" w:hAnsi="Open Sans Light"/>
                <w:sz w:val="22"/>
                <w:szCs w:val="22"/>
              </w:rPr>
              <w:t xml:space="preserve">sing </w:t>
            </w:r>
            <w:r w:rsidR="00B2242A">
              <w:rPr>
                <w:rFonts w:ascii="Open Sans Light" w:hAnsi="Open Sans Light"/>
                <w:sz w:val="22"/>
                <w:szCs w:val="22"/>
              </w:rPr>
              <w:t>recent</w:t>
            </w:r>
            <w:r w:rsidR="00AA5DBD">
              <w:rPr>
                <w:rFonts w:ascii="Open Sans Light" w:hAnsi="Open Sans Light"/>
                <w:sz w:val="22"/>
                <w:szCs w:val="22"/>
              </w:rPr>
              <w:t xml:space="preserve"> </w:t>
            </w:r>
            <w:r w:rsidR="00B2242A">
              <w:rPr>
                <w:rFonts w:ascii="Open Sans Light" w:hAnsi="Open Sans Light"/>
                <w:sz w:val="22"/>
                <w:szCs w:val="22"/>
              </w:rPr>
              <w:t>deployment data</w:t>
            </w:r>
            <w:r w:rsidR="00AA5DBD">
              <w:rPr>
                <w:rFonts w:ascii="Open Sans Light" w:hAnsi="Open Sans Light"/>
                <w:sz w:val="22"/>
                <w:szCs w:val="22"/>
              </w:rPr>
              <w:t xml:space="preserve"> (8.9m 30</w:t>
            </w:r>
            <w:r w:rsidR="00AA5DBD" w:rsidRPr="00AA5DBD">
              <w:rPr>
                <w:rFonts w:ascii="Open Sans Light" w:hAnsi="Open Sans Light"/>
                <w:sz w:val="22"/>
                <w:szCs w:val="22"/>
                <w:vertAlign w:val="superscript"/>
              </w:rPr>
              <w:t>th</w:t>
            </w:r>
            <w:r w:rsidR="00AA5DBD">
              <w:rPr>
                <w:rFonts w:ascii="Open Sans Light" w:hAnsi="Open Sans Light"/>
                <w:sz w:val="22"/>
                <w:szCs w:val="22"/>
              </w:rPr>
              <w:t xml:space="preserve"> January)</w:t>
            </w:r>
            <w:r w:rsidR="003632A4">
              <w:rPr>
                <w:rFonts w:ascii="Open Sans Light" w:hAnsi="Open Sans Light"/>
                <w:sz w:val="22"/>
                <w:szCs w:val="22"/>
              </w:rPr>
              <w:t xml:space="preserve"> we are running at c. </w:t>
            </w:r>
            <w:r w:rsidR="002F292C">
              <w:rPr>
                <w:rFonts w:ascii="Open Sans Light" w:hAnsi="Open Sans Light"/>
                <w:sz w:val="22"/>
                <w:szCs w:val="22"/>
              </w:rPr>
              <w:t>4</w:t>
            </w:r>
            <w:r w:rsidR="00834EF9">
              <w:rPr>
                <w:rFonts w:ascii="Open Sans Light" w:hAnsi="Open Sans Light"/>
                <w:sz w:val="22"/>
                <w:szCs w:val="22"/>
              </w:rPr>
              <w:t>06</w:t>
            </w:r>
            <w:r w:rsidR="003632A4">
              <w:rPr>
                <w:rFonts w:ascii="Open Sans Light" w:hAnsi="Open Sans Light"/>
                <w:sz w:val="22"/>
                <w:szCs w:val="22"/>
              </w:rPr>
              <w:t xml:space="preserve">k jabs per day </w:t>
            </w:r>
            <w:r w:rsidR="00EF3AF0">
              <w:rPr>
                <w:rFonts w:ascii="Open Sans Light" w:hAnsi="Open Sans Light"/>
                <w:sz w:val="22"/>
                <w:szCs w:val="22"/>
              </w:rPr>
              <w:t>using multiple</w:t>
            </w:r>
            <w:r w:rsidR="00B2242A">
              <w:rPr>
                <w:rFonts w:ascii="Open Sans Light" w:hAnsi="Open Sans Light"/>
                <w:sz w:val="22"/>
                <w:szCs w:val="22"/>
              </w:rPr>
              <w:t xml:space="preserve"> delivery</w:t>
            </w:r>
            <w:r w:rsidR="003632A4">
              <w:rPr>
                <w:rFonts w:ascii="Open Sans Light" w:hAnsi="Open Sans Light"/>
                <w:sz w:val="22"/>
                <w:szCs w:val="22"/>
              </w:rPr>
              <w:t xml:space="preserve"> means</w:t>
            </w:r>
            <w:r>
              <w:rPr>
                <w:rFonts w:ascii="Open Sans Light" w:hAnsi="Open Sans Light"/>
                <w:sz w:val="22"/>
                <w:szCs w:val="22"/>
              </w:rPr>
              <w:t>.</w:t>
            </w:r>
            <w:r w:rsidR="001E0F1B">
              <w:rPr>
                <w:rFonts w:ascii="Open Sans Light" w:hAnsi="Open Sans Light"/>
                <w:sz w:val="22"/>
                <w:szCs w:val="22"/>
              </w:rPr>
              <w:t xml:space="preserve"> Our expectations is deployment will average c. 500k jabs per day</w:t>
            </w:r>
            <w:r w:rsidR="00834EF9">
              <w:rPr>
                <w:rFonts w:ascii="Open Sans Light" w:hAnsi="Open Sans Light"/>
                <w:sz w:val="22"/>
                <w:szCs w:val="22"/>
              </w:rPr>
              <w:t xml:space="preserve"> over February and March 2021.</w:t>
            </w:r>
          </w:p>
          <w:p w14:paraId="1ADCC454" w14:textId="2A02681D" w:rsidR="001311FB" w:rsidRDefault="00EF3AF0" w:rsidP="0056504E">
            <w:pPr>
              <w:spacing w:before="120" w:after="120"/>
              <w:jc w:val="both"/>
              <w:rPr>
                <w:rFonts w:ascii="Open Sans Light" w:hAnsi="Open Sans Light"/>
                <w:sz w:val="22"/>
                <w:szCs w:val="22"/>
              </w:rPr>
            </w:pPr>
            <w:r>
              <w:rPr>
                <w:rFonts w:ascii="Open Sans Light" w:hAnsi="Open Sans Light"/>
                <w:sz w:val="22"/>
                <w:szCs w:val="22"/>
              </w:rPr>
              <w:t>G</w:t>
            </w:r>
            <w:r w:rsidR="002F292C">
              <w:rPr>
                <w:rFonts w:ascii="Open Sans Light" w:hAnsi="Open Sans Light"/>
                <w:sz w:val="22"/>
                <w:szCs w:val="22"/>
              </w:rPr>
              <w:t>iven the delivery capabilities, we expect the entire UK adult population (c.52.5m could all receive the first jab by end June) and the booster jab by the end of August 2021.</w:t>
            </w:r>
          </w:p>
          <w:p w14:paraId="06C34E1C" w14:textId="69151A89" w:rsidR="001311FB" w:rsidRDefault="001E0F1B" w:rsidP="0056504E">
            <w:pPr>
              <w:spacing w:before="120" w:after="120"/>
              <w:jc w:val="both"/>
              <w:rPr>
                <w:rFonts w:ascii="Open Sans Light" w:hAnsi="Open Sans Light"/>
                <w:sz w:val="22"/>
                <w:szCs w:val="22"/>
              </w:rPr>
            </w:pPr>
            <w:r>
              <w:rPr>
                <w:rFonts w:ascii="Open Sans Light" w:hAnsi="Open Sans Light"/>
                <w:sz w:val="22"/>
                <w:szCs w:val="22"/>
              </w:rPr>
              <w:t xml:space="preserve">The pace of deployment </w:t>
            </w:r>
            <w:r w:rsidR="0043239E">
              <w:rPr>
                <w:rFonts w:ascii="Open Sans Light" w:hAnsi="Open Sans Light"/>
                <w:sz w:val="22"/>
                <w:szCs w:val="22"/>
              </w:rPr>
              <w:t xml:space="preserve">and full immunization </w:t>
            </w:r>
            <w:r>
              <w:rPr>
                <w:rFonts w:ascii="Open Sans Light" w:hAnsi="Open Sans Light"/>
                <w:sz w:val="22"/>
                <w:szCs w:val="22"/>
              </w:rPr>
              <w:t>could be increased if logistical challenges reduce, or if single dose vaccines (such as J&amp;J) arrive or if the government delays the delivery of the booster jab.</w:t>
            </w:r>
            <w:r w:rsidR="00FF2BD4">
              <w:rPr>
                <w:rFonts w:ascii="Open Sans Light" w:hAnsi="Open Sans Light"/>
                <w:sz w:val="22"/>
                <w:szCs w:val="22"/>
              </w:rPr>
              <w:t xml:space="preserve"> </w:t>
            </w:r>
            <w:r w:rsidR="001311FB">
              <w:rPr>
                <w:rFonts w:ascii="Open Sans Light" w:hAnsi="Open Sans Light"/>
                <w:sz w:val="22"/>
                <w:szCs w:val="22"/>
              </w:rPr>
              <w:t>What could get in the way?</w:t>
            </w:r>
          </w:p>
          <w:p w14:paraId="555063FF" w14:textId="154747F2" w:rsidR="001311FB" w:rsidRDefault="001311FB" w:rsidP="001311FB">
            <w:pPr>
              <w:pStyle w:val="ListParagraph"/>
              <w:numPr>
                <w:ilvl w:val="0"/>
                <w:numId w:val="14"/>
              </w:numPr>
              <w:spacing w:before="120" w:after="120"/>
              <w:jc w:val="both"/>
              <w:rPr>
                <w:rFonts w:ascii="Open Sans Light" w:hAnsi="Open Sans Light"/>
                <w:sz w:val="22"/>
                <w:szCs w:val="22"/>
              </w:rPr>
            </w:pPr>
            <w:r w:rsidRPr="001311FB">
              <w:rPr>
                <w:rFonts w:ascii="Open Sans Light" w:hAnsi="Open Sans Light"/>
                <w:sz w:val="22"/>
                <w:szCs w:val="22"/>
              </w:rPr>
              <w:t xml:space="preserve">Supply constraints </w:t>
            </w:r>
            <w:r w:rsidR="001E0F1B">
              <w:rPr>
                <w:rFonts w:ascii="Open Sans Light" w:hAnsi="Open Sans Light"/>
                <w:sz w:val="22"/>
                <w:szCs w:val="22"/>
              </w:rPr>
              <w:t xml:space="preserve">– </w:t>
            </w:r>
            <w:r w:rsidR="00217ED0">
              <w:rPr>
                <w:rFonts w:ascii="Open Sans Light" w:hAnsi="Open Sans Light"/>
                <w:sz w:val="22"/>
                <w:szCs w:val="22"/>
              </w:rPr>
              <w:t>(unlikely in our view)</w:t>
            </w:r>
          </w:p>
          <w:p w14:paraId="441BFE9D" w14:textId="61324D60" w:rsidR="001E0F1B" w:rsidRDefault="001E0F1B" w:rsidP="001311FB">
            <w:pPr>
              <w:pStyle w:val="ListParagraph"/>
              <w:numPr>
                <w:ilvl w:val="0"/>
                <w:numId w:val="14"/>
              </w:numPr>
              <w:spacing w:before="120" w:after="120"/>
              <w:jc w:val="both"/>
              <w:rPr>
                <w:rFonts w:ascii="Open Sans Light" w:hAnsi="Open Sans Light"/>
                <w:sz w:val="22"/>
                <w:szCs w:val="22"/>
              </w:rPr>
            </w:pPr>
            <w:r>
              <w:rPr>
                <w:rFonts w:ascii="Open Sans Light" w:hAnsi="Open Sans Light"/>
                <w:sz w:val="22"/>
                <w:szCs w:val="22"/>
              </w:rPr>
              <w:t>Reduction in the pace of deployment</w:t>
            </w:r>
            <w:r w:rsidR="00834EF9">
              <w:rPr>
                <w:rFonts w:ascii="Open Sans Light" w:hAnsi="Open Sans Light"/>
                <w:sz w:val="22"/>
                <w:szCs w:val="22"/>
              </w:rPr>
              <w:t xml:space="preserve"> – (also unlikely)</w:t>
            </w:r>
          </w:p>
          <w:p w14:paraId="3B38A793" w14:textId="097D005D" w:rsidR="001773EC" w:rsidRPr="001311FB" w:rsidRDefault="00217ED0" w:rsidP="001311FB">
            <w:pPr>
              <w:pStyle w:val="ListParagraph"/>
              <w:numPr>
                <w:ilvl w:val="0"/>
                <w:numId w:val="14"/>
              </w:numPr>
              <w:spacing w:before="120" w:after="120"/>
              <w:jc w:val="both"/>
              <w:rPr>
                <w:rFonts w:ascii="Open Sans Light" w:hAnsi="Open Sans Light"/>
                <w:sz w:val="22"/>
                <w:szCs w:val="22"/>
              </w:rPr>
            </w:pPr>
            <w:r>
              <w:rPr>
                <w:rFonts w:ascii="Open Sans Light" w:hAnsi="Open Sans Light"/>
                <w:sz w:val="22"/>
                <w:szCs w:val="22"/>
              </w:rPr>
              <w:t xml:space="preserve">New </w:t>
            </w:r>
            <w:r w:rsidR="001773EC">
              <w:rPr>
                <w:rFonts w:ascii="Open Sans Light" w:hAnsi="Open Sans Light"/>
                <w:sz w:val="22"/>
                <w:szCs w:val="22"/>
              </w:rPr>
              <w:t>C-19 variant</w:t>
            </w:r>
            <w:r>
              <w:rPr>
                <w:rFonts w:ascii="Open Sans Light" w:hAnsi="Open Sans Light"/>
                <w:sz w:val="22"/>
                <w:szCs w:val="22"/>
              </w:rPr>
              <w:t>s / variant resistance to C-19 jabs</w:t>
            </w:r>
            <w:r w:rsidR="00834EF9">
              <w:rPr>
                <w:rFonts w:ascii="Open Sans Light" w:hAnsi="Open Sans Light"/>
                <w:sz w:val="22"/>
                <w:szCs w:val="22"/>
              </w:rPr>
              <w:t xml:space="preserve"> – (this is occurring)</w:t>
            </w:r>
          </w:p>
          <w:p w14:paraId="06D68367" w14:textId="3C82CB58" w:rsidR="001311FB" w:rsidRPr="001311FB" w:rsidRDefault="001E0F1B" w:rsidP="001311FB">
            <w:pPr>
              <w:pStyle w:val="ListParagraph"/>
              <w:numPr>
                <w:ilvl w:val="0"/>
                <w:numId w:val="14"/>
              </w:numPr>
              <w:spacing w:before="120" w:after="120"/>
              <w:jc w:val="both"/>
              <w:rPr>
                <w:rFonts w:ascii="Open Sans Light" w:eastAsia="Times New Roman" w:hAnsi="Open Sans Light" w:cs="Open Sans Light"/>
                <w:color w:val="000000"/>
                <w:sz w:val="22"/>
                <w:szCs w:val="22"/>
                <w:lang w:eastAsia="en-GB"/>
              </w:rPr>
            </w:pPr>
            <w:r>
              <w:rPr>
                <w:rFonts w:ascii="Open Sans Light" w:eastAsia="Times New Roman" w:hAnsi="Open Sans Light" w:cs="Open Sans Light"/>
                <w:color w:val="000000"/>
                <w:sz w:val="22"/>
                <w:szCs w:val="22"/>
                <w:lang w:eastAsia="en-GB"/>
              </w:rPr>
              <w:t>Population resistance to receiving the jab</w:t>
            </w:r>
            <w:r w:rsidR="00EF3AF0">
              <w:rPr>
                <w:rFonts w:ascii="Open Sans Light" w:eastAsia="Times New Roman" w:hAnsi="Open Sans Light" w:cs="Open Sans Light"/>
                <w:color w:val="000000"/>
                <w:sz w:val="22"/>
                <w:szCs w:val="22"/>
                <w:lang w:eastAsia="en-GB"/>
              </w:rPr>
              <w:t xml:space="preserve"> (the ludicrous anti-vax movement does not appear to be letting up in its various publicity related efforts).</w:t>
            </w:r>
          </w:p>
          <w:p w14:paraId="49D892E9" w14:textId="7F05D789" w:rsidR="00A24091" w:rsidRPr="00620D0F" w:rsidRDefault="001E0F1B" w:rsidP="00620D0F">
            <w:pPr>
              <w:spacing w:after="120"/>
              <w:jc w:val="both"/>
              <w:rPr>
                <w:rFonts w:ascii="Open Sans Semibold" w:hAnsi="Open Sans Semibold"/>
                <w:color w:val="005D2A"/>
                <w:sz w:val="32"/>
              </w:rPr>
            </w:pPr>
            <w:r>
              <w:rPr>
                <w:rFonts w:ascii="Open Sans Semibold" w:hAnsi="Open Sans Semibold"/>
                <w:color w:val="005D2A"/>
                <w:sz w:val="32"/>
              </w:rPr>
              <w:t>C-19 vaccine</w:t>
            </w:r>
            <w:r w:rsidR="00AA6537">
              <w:rPr>
                <w:rFonts w:ascii="Open Sans Semibold" w:hAnsi="Open Sans Semibold"/>
                <w:color w:val="005D2A"/>
                <w:sz w:val="32"/>
              </w:rPr>
              <w:t xml:space="preserve">s </w:t>
            </w:r>
            <w:r w:rsidR="00620D0F">
              <w:rPr>
                <w:rFonts w:ascii="Open Sans Semibold" w:hAnsi="Open Sans Semibold"/>
                <w:color w:val="005D2A"/>
                <w:sz w:val="32"/>
              </w:rPr>
              <w:t>multiply</w:t>
            </w:r>
          </w:p>
          <w:p w14:paraId="2A527A37" w14:textId="71B41935" w:rsidR="00E07D38" w:rsidRDefault="00834EF9" w:rsidP="00620D0F">
            <w:pPr>
              <w:spacing w:before="120" w:after="120"/>
              <w:jc w:val="both"/>
              <w:rPr>
                <w:rFonts w:ascii="Open Sans Light" w:hAnsi="Open Sans Light"/>
                <w:sz w:val="22"/>
              </w:rPr>
            </w:pPr>
            <w:r>
              <w:rPr>
                <w:rFonts w:ascii="Open Sans Light" w:hAnsi="Open Sans Light"/>
                <w:sz w:val="22"/>
              </w:rPr>
              <w:t>T</w:t>
            </w:r>
            <w:r w:rsidR="00EF3AF0">
              <w:rPr>
                <w:rFonts w:ascii="Open Sans Light" w:hAnsi="Open Sans Light"/>
                <w:sz w:val="22"/>
              </w:rPr>
              <w:t xml:space="preserve">he global population will have </w:t>
            </w:r>
            <w:r>
              <w:rPr>
                <w:rFonts w:ascii="Open Sans Light" w:hAnsi="Open Sans Light"/>
                <w:sz w:val="22"/>
              </w:rPr>
              <w:t>more choice in C-19 vaccine</w:t>
            </w:r>
            <w:r w:rsidR="00AA6537">
              <w:rPr>
                <w:rFonts w:ascii="Open Sans Light" w:hAnsi="Open Sans Light"/>
                <w:sz w:val="22"/>
              </w:rPr>
              <w:t>s</w:t>
            </w:r>
            <w:r>
              <w:rPr>
                <w:rFonts w:ascii="Open Sans Light" w:hAnsi="Open Sans Light"/>
                <w:sz w:val="22"/>
              </w:rPr>
              <w:t xml:space="preserve"> over 2021 than available during Q1 – this will help </w:t>
            </w:r>
            <w:r w:rsidR="00AA6537">
              <w:rPr>
                <w:rFonts w:ascii="Open Sans Light" w:hAnsi="Open Sans Light"/>
                <w:sz w:val="22"/>
              </w:rPr>
              <w:t>with</w:t>
            </w:r>
            <w:r>
              <w:rPr>
                <w:rFonts w:ascii="Open Sans Light" w:hAnsi="Open Sans Light"/>
                <w:sz w:val="22"/>
              </w:rPr>
              <w:t xml:space="preserve"> the global </w:t>
            </w:r>
            <w:r w:rsidR="00AA6537">
              <w:rPr>
                <w:rFonts w:ascii="Open Sans Light" w:hAnsi="Open Sans Light"/>
                <w:sz w:val="22"/>
              </w:rPr>
              <w:t xml:space="preserve">deployment which in some areas, EU, Latin </w:t>
            </w:r>
            <w:r w:rsidR="00AA6537">
              <w:rPr>
                <w:rFonts w:ascii="Open Sans Light" w:hAnsi="Open Sans Light"/>
                <w:sz w:val="22"/>
              </w:rPr>
              <w:lastRenderedPageBreak/>
              <w:t>America has been slow.</w:t>
            </w:r>
            <w:r w:rsidR="0049094B">
              <w:rPr>
                <w:rFonts w:ascii="Open Sans Light" w:hAnsi="Open Sans Light"/>
                <w:sz w:val="22"/>
              </w:rPr>
              <w:t xml:space="preserve"> So far c. 5% of the EU’s adult population has received the first jab compared to c.20% of UK adults.</w:t>
            </w:r>
          </w:p>
          <w:p w14:paraId="452487E1" w14:textId="0A73DDE5" w:rsidR="00934513" w:rsidRPr="00FD6DD2" w:rsidRDefault="00934513" w:rsidP="00620D0F">
            <w:pPr>
              <w:spacing w:before="120" w:after="120"/>
              <w:jc w:val="both"/>
              <w:rPr>
                <w:rFonts w:ascii="Open Sans Light" w:hAnsi="Open Sans Light"/>
                <w:sz w:val="22"/>
              </w:rPr>
            </w:pPr>
            <w:r>
              <w:rPr>
                <w:rFonts w:ascii="Open Sans Light" w:hAnsi="Open Sans Light"/>
                <w:b/>
                <w:bCs/>
                <w:sz w:val="22"/>
              </w:rPr>
              <w:t>AstraZeneca</w:t>
            </w:r>
            <w:r w:rsidR="00FD6DD2">
              <w:rPr>
                <w:rFonts w:ascii="Open Sans Light" w:hAnsi="Open Sans Light"/>
                <w:b/>
                <w:bCs/>
                <w:sz w:val="22"/>
              </w:rPr>
              <w:t xml:space="preserve">; </w:t>
            </w:r>
            <w:r w:rsidR="00FD6DD2">
              <w:rPr>
                <w:rFonts w:ascii="Open Sans Light" w:hAnsi="Open Sans Light"/>
                <w:sz w:val="22"/>
              </w:rPr>
              <w:t>the C-19 vaccine has been criticized in the EU, Greece, Switzerland and South Africa – the latter halted the AZN C-19 rollout on the grounds that it was ineffective against the South African C-19 variant. Other countries, Greece, Switzerland have criticized its poor data submissions (no data on over 65s)</w:t>
            </w:r>
            <w:r w:rsidR="007D20E9">
              <w:rPr>
                <w:rFonts w:ascii="Open Sans Light" w:hAnsi="Open Sans Light"/>
                <w:sz w:val="22"/>
              </w:rPr>
              <w:t xml:space="preserve"> and not authorized for over 65s</w:t>
            </w:r>
            <w:r w:rsidR="0049094B">
              <w:rPr>
                <w:rFonts w:ascii="Open Sans Light" w:hAnsi="Open Sans Light"/>
                <w:sz w:val="22"/>
              </w:rPr>
              <w:t>. In fact almost half of all EU countries, 11 out of 27) have applied age restrictions (sub 65) to the Astra Zeneca C-19 treatment. Italy, Belgium and Spain have made the restriction larger, to under 55.</w:t>
            </w:r>
          </w:p>
          <w:p w14:paraId="4F1255CC" w14:textId="222C9587" w:rsidR="00475E7E" w:rsidRDefault="00620D0F" w:rsidP="00620D0F">
            <w:pPr>
              <w:spacing w:before="120" w:after="120"/>
              <w:jc w:val="both"/>
              <w:rPr>
                <w:rFonts w:ascii="Open Sans Light" w:hAnsi="Open Sans Light"/>
                <w:sz w:val="22"/>
              </w:rPr>
            </w:pPr>
            <w:r>
              <w:rPr>
                <w:rFonts w:ascii="Open Sans Light" w:hAnsi="Open Sans Light"/>
                <w:b/>
                <w:bCs/>
                <w:sz w:val="22"/>
              </w:rPr>
              <w:t>Pfizer- BioNTech</w:t>
            </w:r>
            <w:r>
              <w:rPr>
                <w:rFonts w:ascii="Open Sans Light" w:hAnsi="Open Sans Light"/>
                <w:sz w:val="22"/>
              </w:rPr>
              <w:t>; highly effective</w:t>
            </w:r>
            <w:r w:rsidR="0040299C">
              <w:rPr>
                <w:rFonts w:ascii="Open Sans Light" w:hAnsi="Open Sans Light"/>
                <w:sz w:val="22"/>
              </w:rPr>
              <w:t xml:space="preserve"> (94.5%)</w:t>
            </w:r>
            <w:r>
              <w:rPr>
                <w:rFonts w:ascii="Open Sans Light" w:hAnsi="Open Sans Light"/>
                <w:sz w:val="22"/>
              </w:rPr>
              <w:t xml:space="preserve"> C</w:t>
            </w:r>
            <w:r w:rsidR="00834EF9">
              <w:rPr>
                <w:rFonts w:ascii="Open Sans Light" w:hAnsi="Open Sans Light"/>
                <w:sz w:val="22"/>
              </w:rPr>
              <w:t>-</w:t>
            </w:r>
            <w:r>
              <w:rPr>
                <w:rFonts w:ascii="Open Sans Light" w:hAnsi="Open Sans Light"/>
                <w:sz w:val="22"/>
              </w:rPr>
              <w:t xml:space="preserve">19 </w:t>
            </w:r>
            <w:r w:rsidR="00834EF9">
              <w:rPr>
                <w:rFonts w:ascii="Open Sans Light" w:hAnsi="Open Sans Light"/>
                <w:sz w:val="22"/>
              </w:rPr>
              <w:t>vaccine</w:t>
            </w:r>
            <w:r w:rsidR="00AA6537">
              <w:rPr>
                <w:rFonts w:ascii="Open Sans Light" w:hAnsi="Open Sans Light"/>
                <w:sz w:val="22"/>
              </w:rPr>
              <w:t>, recent Israeli data has confirmed its effectiveness amongst a vaccinated population (in a 600k study of symptomatic C-19 cases there was a 94% drop in infections.)</w:t>
            </w:r>
            <w:r w:rsidR="0040299C">
              <w:rPr>
                <w:rFonts w:ascii="Open Sans Light" w:hAnsi="Open Sans Light"/>
                <w:sz w:val="22"/>
              </w:rPr>
              <w:t xml:space="preserve"> The Pfizer C-19 vaccine recently won a further 100m dose order from the US government cementing its position in its home market. Roll-out globally has been slower given the drug’s deep freeze requirements. </w:t>
            </w:r>
            <w:r w:rsidR="00E126F8">
              <w:rPr>
                <w:rFonts w:ascii="Open Sans Light" w:hAnsi="Open Sans Light"/>
                <w:sz w:val="22"/>
              </w:rPr>
              <w:t>Pfizer is also supplying 40m doses to the UK.</w:t>
            </w:r>
          </w:p>
          <w:p w14:paraId="6E7CA95B" w14:textId="189F7B06" w:rsidR="0049094B" w:rsidRPr="0049094B" w:rsidRDefault="0049094B" w:rsidP="00620D0F">
            <w:pPr>
              <w:spacing w:before="120" w:after="120"/>
              <w:jc w:val="both"/>
              <w:rPr>
                <w:rFonts w:ascii="Open Sans Light" w:hAnsi="Open Sans Light"/>
                <w:sz w:val="22"/>
              </w:rPr>
            </w:pPr>
            <w:r>
              <w:rPr>
                <w:rFonts w:ascii="Open Sans Light" w:hAnsi="Open Sans Light"/>
                <w:b/>
                <w:bCs/>
                <w:sz w:val="22"/>
              </w:rPr>
              <w:t xml:space="preserve">Moderna; </w:t>
            </w:r>
            <w:r>
              <w:rPr>
                <w:rFonts w:ascii="Open Sans Light" w:hAnsi="Open Sans Light"/>
                <w:sz w:val="22"/>
              </w:rPr>
              <w:t>the Moderna vaccine was the</w:t>
            </w:r>
            <w:r w:rsidR="00E126F8">
              <w:rPr>
                <w:rFonts w:ascii="Open Sans Light" w:hAnsi="Open Sans Light"/>
                <w:sz w:val="22"/>
              </w:rPr>
              <w:t xml:space="preserve"> </w:t>
            </w:r>
            <w:r w:rsidR="00096AE4">
              <w:rPr>
                <w:rFonts w:ascii="Open Sans Light" w:hAnsi="Open Sans Light"/>
                <w:sz w:val="22"/>
              </w:rPr>
              <w:t>second</w:t>
            </w:r>
            <w:r>
              <w:rPr>
                <w:rFonts w:ascii="Open Sans Light" w:hAnsi="Open Sans Light"/>
                <w:sz w:val="22"/>
              </w:rPr>
              <w:t xml:space="preserve"> </w:t>
            </w:r>
            <w:r w:rsidR="00E126F8">
              <w:rPr>
                <w:rFonts w:ascii="Open Sans Light" w:hAnsi="Open Sans Light"/>
                <w:sz w:val="22"/>
              </w:rPr>
              <w:t xml:space="preserve">C-19 vaccine </w:t>
            </w:r>
            <w:r>
              <w:rPr>
                <w:rFonts w:ascii="Open Sans Light" w:hAnsi="Open Sans Light"/>
                <w:sz w:val="22"/>
              </w:rPr>
              <w:t>to re</w:t>
            </w:r>
            <w:r w:rsidR="00E126F8">
              <w:rPr>
                <w:rFonts w:ascii="Open Sans Light" w:hAnsi="Open Sans Light"/>
                <w:sz w:val="22"/>
              </w:rPr>
              <w:t xml:space="preserve">ceive </w:t>
            </w:r>
            <w:r w:rsidR="00096AE4">
              <w:rPr>
                <w:rFonts w:ascii="Open Sans Light" w:hAnsi="Open Sans Light"/>
                <w:sz w:val="22"/>
              </w:rPr>
              <w:t xml:space="preserve">FDA </w:t>
            </w:r>
            <w:r w:rsidR="00E126F8">
              <w:rPr>
                <w:rFonts w:ascii="Open Sans Light" w:hAnsi="Open Sans Light"/>
                <w:sz w:val="22"/>
              </w:rPr>
              <w:t>approval and has an efficacy of 94%, just 14 days after the first jab. Base</w:t>
            </w:r>
            <w:r w:rsidR="0091121E">
              <w:rPr>
                <w:rFonts w:ascii="Open Sans Light" w:hAnsi="Open Sans Light"/>
                <w:sz w:val="22"/>
              </w:rPr>
              <w:t>d</w:t>
            </w:r>
            <w:r w:rsidR="00E126F8">
              <w:rPr>
                <w:rFonts w:ascii="Open Sans Light" w:hAnsi="Open Sans Light"/>
                <w:sz w:val="22"/>
              </w:rPr>
              <w:t xml:space="preserve"> on evidence so far the treatment is also effective against new variants. Moderna recently won a supplementary 100m dose order from the US government and 5m order from the UK.</w:t>
            </w:r>
          </w:p>
          <w:p w14:paraId="02211A98" w14:textId="1A3D335E" w:rsidR="00620D0F" w:rsidRDefault="00475E7E" w:rsidP="00620D0F">
            <w:pPr>
              <w:spacing w:before="120" w:after="120"/>
              <w:jc w:val="both"/>
              <w:rPr>
                <w:rFonts w:ascii="Open Sans Light" w:hAnsi="Open Sans Light"/>
                <w:sz w:val="22"/>
              </w:rPr>
            </w:pPr>
            <w:r>
              <w:rPr>
                <w:rFonts w:ascii="Open Sans Light" w:hAnsi="Open Sans Light"/>
                <w:b/>
                <w:bCs/>
                <w:sz w:val="22"/>
              </w:rPr>
              <w:t>GSK/ Curevac</w:t>
            </w:r>
            <w:r w:rsidR="00934513">
              <w:rPr>
                <w:rFonts w:ascii="Open Sans Light" w:hAnsi="Open Sans Light"/>
                <w:b/>
                <w:bCs/>
                <w:sz w:val="22"/>
              </w:rPr>
              <w:t xml:space="preserve">; </w:t>
            </w:r>
            <w:r w:rsidR="00934513">
              <w:rPr>
                <w:rFonts w:ascii="Open Sans Light" w:hAnsi="Open Sans Light"/>
                <w:sz w:val="22"/>
              </w:rPr>
              <w:t xml:space="preserve">objective is to develop a mRNA C-19 vaccine targeting availability in 2022.GSK will also support the manufacture of 100m doses of Curevac first generation C-19 vaccine CVnCoV in 2021 (this is currently in Phase 2b/3 clinincal trials). GSK is liable for €150m in return for exclusive marketing authorization in all countries, except Germany, Austria and Switzerland. </w:t>
            </w:r>
          </w:p>
          <w:p w14:paraId="1C02B7F5" w14:textId="5D0880F7" w:rsidR="00620D0F" w:rsidRDefault="00620D0F" w:rsidP="00620D0F">
            <w:pPr>
              <w:spacing w:before="120" w:after="120"/>
              <w:jc w:val="both"/>
              <w:rPr>
                <w:rFonts w:ascii="Open Sans Light" w:hAnsi="Open Sans Light"/>
                <w:sz w:val="22"/>
              </w:rPr>
            </w:pPr>
            <w:r>
              <w:rPr>
                <w:rFonts w:ascii="Open Sans Light" w:hAnsi="Open Sans Light"/>
                <w:b/>
                <w:bCs/>
                <w:sz w:val="22"/>
              </w:rPr>
              <w:t xml:space="preserve">GSK/ Sanofi; </w:t>
            </w:r>
            <w:r>
              <w:rPr>
                <w:rFonts w:ascii="Open Sans Light" w:hAnsi="Open Sans Light"/>
                <w:sz w:val="22"/>
              </w:rPr>
              <w:t>do not expect an approved C-19 vaccine until post Phase III trial results due in Q3 2021.</w:t>
            </w:r>
            <w:r w:rsidR="00AA6537">
              <w:rPr>
                <w:rFonts w:ascii="Open Sans Light" w:hAnsi="Open Sans Light"/>
                <w:sz w:val="22"/>
              </w:rPr>
              <w:t xml:space="preserve"> There is considerable disappointment in GSK/ Sanofi delays especially given GSK’s vaccine expertise. </w:t>
            </w:r>
            <w:r w:rsidR="00475E7E">
              <w:rPr>
                <w:rFonts w:ascii="Open Sans Light" w:hAnsi="Open Sans Light"/>
                <w:sz w:val="22"/>
              </w:rPr>
              <w:t>In a recent conference call the GSK board discussed C-19 mainly in the context of the impact on its existing vaccine business of the 14 day period before and after</w:t>
            </w:r>
            <w:r w:rsidR="00AC7ECF">
              <w:rPr>
                <w:rFonts w:ascii="Open Sans Light" w:hAnsi="Open Sans Light"/>
                <w:sz w:val="22"/>
              </w:rPr>
              <w:t xml:space="preserve"> rather than touch on the lack of its C-19 delivery.</w:t>
            </w:r>
          </w:p>
          <w:p w14:paraId="4EF89E94" w14:textId="5F078488" w:rsidR="00475E7E" w:rsidRPr="0040299C" w:rsidRDefault="00475E7E" w:rsidP="00620D0F">
            <w:pPr>
              <w:spacing w:before="120" w:after="120"/>
              <w:jc w:val="both"/>
              <w:rPr>
                <w:rFonts w:ascii="Open Sans Light" w:hAnsi="Open Sans Light"/>
                <w:sz w:val="22"/>
              </w:rPr>
            </w:pPr>
            <w:r>
              <w:rPr>
                <w:rFonts w:ascii="Open Sans Light" w:hAnsi="Open Sans Light"/>
                <w:b/>
                <w:bCs/>
                <w:sz w:val="22"/>
              </w:rPr>
              <w:t xml:space="preserve">Johnson &amp; Johnson; </w:t>
            </w:r>
            <w:r w:rsidR="0040299C">
              <w:rPr>
                <w:rFonts w:ascii="Open Sans Light" w:hAnsi="Open Sans Light"/>
                <w:sz w:val="22"/>
              </w:rPr>
              <w:t xml:space="preserve">this </w:t>
            </w:r>
            <w:r w:rsidR="00853BCA">
              <w:rPr>
                <w:rFonts w:ascii="Open Sans Light" w:hAnsi="Open Sans Light"/>
                <w:sz w:val="22"/>
              </w:rPr>
              <w:t xml:space="preserve">C-19 </w:t>
            </w:r>
            <w:r w:rsidR="0040299C">
              <w:rPr>
                <w:rFonts w:ascii="Open Sans Light" w:hAnsi="Open Sans Light"/>
                <w:sz w:val="22"/>
              </w:rPr>
              <w:t xml:space="preserve">treatment is a major leap forward, it is single shot i.e. no booster jab – </w:t>
            </w:r>
            <w:r w:rsidR="00853BCA">
              <w:rPr>
                <w:rFonts w:ascii="Open Sans Light" w:hAnsi="Open Sans Light"/>
                <w:sz w:val="22"/>
              </w:rPr>
              <w:t>with</w:t>
            </w:r>
            <w:r w:rsidR="0040299C">
              <w:rPr>
                <w:rFonts w:ascii="Open Sans Light" w:hAnsi="Open Sans Light"/>
                <w:sz w:val="22"/>
              </w:rPr>
              <w:t xml:space="preserve"> a 66% effectiveness against moderate to severe C-19 and an 85% effectiveness </w:t>
            </w:r>
            <w:r w:rsidR="008E3F5F">
              <w:rPr>
                <w:rFonts w:ascii="Open Sans Light" w:hAnsi="Open Sans Light"/>
                <w:sz w:val="22"/>
              </w:rPr>
              <w:t>against severe C-19 after day 28 in phase III trials. J&amp;J is filing for US EUA (emergency use authorization) and expects to meet its 2021 delivery commitments (100m to US government for $10 per shot, 200m to Europe and 100m to developing countries via GAVI, the Vaccine Alliance)</w:t>
            </w:r>
            <w:r w:rsidR="00853BCA">
              <w:rPr>
                <w:rFonts w:ascii="Open Sans Light" w:hAnsi="Open Sans Light"/>
                <w:sz w:val="22"/>
              </w:rPr>
              <w:t>.</w:t>
            </w:r>
          </w:p>
          <w:p w14:paraId="44A3B962" w14:textId="1915A30C" w:rsidR="00E126F8" w:rsidRPr="00620D0F" w:rsidRDefault="00E126F8" w:rsidP="00E126F8">
            <w:pPr>
              <w:spacing w:after="120"/>
              <w:jc w:val="both"/>
              <w:rPr>
                <w:rFonts w:ascii="Open Sans Semibold" w:hAnsi="Open Sans Semibold"/>
                <w:color w:val="005D2A"/>
                <w:sz w:val="32"/>
              </w:rPr>
            </w:pPr>
            <w:r>
              <w:rPr>
                <w:rFonts w:ascii="Open Sans Semibold" w:hAnsi="Open Sans Semibold"/>
                <w:color w:val="005D2A"/>
                <w:sz w:val="32"/>
              </w:rPr>
              <w:t>C-19 restrictions / the pecking order</w:t>
            </w:r>
          </w:p>
          <w:p w14:paraId="5027B68C" w14:textId="0CD9614C" w:rsidR="007C0AD6" w:rsidRDefault="00E126F8" w:rsidP="00E07D38">
            <w:pPr>
              <w:spacing w:before="120" w:after="120"/>
              <w:jc w:val="both"/>
              <w:rPr>
                <w:rFonts w:ascii="Open Sans Light" w:hAnsi="Open Sans Light"/>
                <w:sz w:val="22"/>
              </w:rPr>
            </w:pPr>
            <w:r>
              <w:rPr>
                <w:rFonts w:ascii="Open Sans Light" w:hAnsi="Open Sans Light"/>
                <w:sz w:val="22"/>
              </w:rPr>
              <w:t>Ahead of the UK government’s roadmap out of lockdown#3 due on the 22</w:t>
            </w:r>
            <w:r w:rsidRPr="00E126F8">
              <w:rPr>
                <w:rFonts w:ascii="Open Sans Light" w:hAnsi="Open Sans Light"/>
                <w:sz w:val="22"/>
                <w:vertAlign w:val="superscript"/>
              </w:rPr>
              <w:t>nd</w:t>
            </w:r>
            <w:r>
              <w:rPr>
                <w:rFonts w:ascii="Open Sans Light" w:hAnsi="Open Sans Light"/>
                <w:sz w:val="22"/>
              </w:rPr>
              <w:t xml:space="preserve"> February the </w:t>
            </w:r>
            <w:r w:rsidR="00853BCA">
              <w:rPr>
                <w:rFonts w:ascii="Open Sans Light" w:hAnsi="Open Sans Light"/>
                <w:sz w:val="22"/>
              </w:rPr>
              <w:t xml:space="preserve">immediate </w:t>
            </w:r>
            <w:r>
              <w:rPr>
                <w:rFonts w:ascii="Open Sans Light" w:hAnsi="Open Sans Light"/>
                <w:sz w:val="22"/>
              </w:rPr>
              <w:t xml:space="preserve">data is </w:t>
            </w:r>
            <w:r w:rsidR="00DB3B42">
              <w:rPr>
                <w:rFonts w:ascii="Open Sans Light" w:hAnsi="Open Sans Light"/>
                <w:sz w:val="22"/>
              </w:rPr>
              <w:t>important</w:t>
            </w:r>
            <w:r>
              <w:rPr>
                <w:rFonts w:ascii="Open Sans Light" w:hAnsi="Open Sans Light"/>
                <w:sz w:val="22"/>
              </w:rPr>
              <w:t xml:space="preserve">. However it is hard to see the UK government moving quickly to ease </w:t>
            </w:r>
            <w:r w:rsidR="00853BCA">
              <w:rPr>
                <w:rFonts w:ascii="Open Sans Light" w:hAnsi="Open Sans Light"/>
                <w:sz w:val="22"/>
              </w:rPr>
              <w:t xml:space="preserve">C-19 </w:t>
            </w:r>
            <w:r>
              <w:rPr>
                <w:rFonts w:ascii="Open Sans Light" w:hAnsi="Open Sans Light"/>
                <w:sz w:val="22"/>
              </w:rPr>
              <w:t xml:space="preserve">restrictions. </w:t>
            </w:r>
            <w:r w:rsidR="007C0AD6">
              <w:rPr>
                <w:rFonts w:ascii="Open Sans Light" w:hAnsi="Open Sans Light"/>
                <w:sz w:val="22"/>
              </w:rPr>
              <w:t>The government’s SAGE scientists have said it is not sensible to set out a road map at all right now.</w:t>
            </w:r>
          </w:p>
          <w:p w14:paraId="602104B7" w14:textId="4ECA31A7" w:rsidR="00E126F8" w:rsidRDefault="00E126F8" w:rsidP="00E07D38">
            <w:pPr>
              <w:spacing w:before="120" w:after="120"/>
              <w:jc w:val="both"/>
              <w:rPr>
                <w:rFonts w:ascii="Open Sans Light" w:hAnsi="Open Sans Light"/>
                <w:sz w:val="22"/>
              </w:rPr>
            </w:pPr>
            <w:r>
              <w:rPr>
                <w:rFonts w:ascii="Open Sans Light" w:hAnsi="Open Sans Light"/>
                <w:sz w:val="22"/>
              </w:rPr>
              <w:t>This is due to th</w:t>
            </w:r>
            <w:r w:rsidR="007C0AD6">
              <w:rPr>
                <w:rFonts w:ascii="Open Sans Light" w:hAnsi="Open Sans Light"/>
                <w:sz w:val="22"/>
              </w:rPr>
              <w:t xml:space="preserve">e fact it will still take until end May at least before the UK adult population gets the first jab. It is also a function of the nagging suspicion that the numbers are only down because of the restrictions, </w:t>
            </w:r>
            <w:r w:rsidR="00AC7ECF">
              <w:rPr>
                <w:rFonts w:ascii="Open Sans Light" w:hAnsi="Open Sans Light"/>
                <w:sz w:val="22"/>
              </w:rPr>
              <w:t>if</w:t>
            </w:r>
            <w:r w:rsidR="007C0AD6">
              <w:rPr>
                <w:rFonts w:ascii="Open Sans Light" w:hAnsi="Open Sans Light"/>
                <w:sz w:val="22"/>
              </w:rPr>
              <w:t xml:space="preserve"> restrictions are eased the infection rate could rise sharply again, especially if the new variants show a higher resistance to the vaccines.</w:t>
            </w:r>
            <w:r w:rsidR="00DB3B42">
              <w:rPr>
                <w:rFonts w:ascii="Open Sans Light" w:hAnsi="Open Sans Light"/>
                <w:sz w:val="22"/>
              </w:rPr>
              <w:t xml:space="preserve"> </w:t>
            </w:r>
          </w:p>
          <w:p w14:paraId="717DF459" w14:textId="5F326789" w:rsidR="007C0AD6" w:rsidRDefault="007C0AD6" w:rsidP="00E07D38">
            <w:pPr>
              <w:spacing w:before="120" w:after="120"/>
              <w:jc w:val="both"/>
              <w:rPr>
                <w:rFonts w:ascii="Open Sans Light" w:hAnsi="Open Sans Light"/>
                <w:sz w:val="22"/>
              </w:rPr>
            </w:pPr>
            <w:r>
              <w:rPr>
                <w:rFonts w:ascii="Open Sans Light" w:hAnsi="Open Sans Light"/>
                <w:sz w:val="22"/>
              </w:rPr>
              <w:t>It is possible that the PM’s commitment to re-open schools on the 8</w:t>
            </w:r>
            <w:r w:rsidRPr="007C0AD6">
              <w:rPr>
                <w:rFonts w:ascii="Open Sans Light" w:hAnsi="Open Sans Light"/>
                <w:sz w:val="22"/>
                <w:vertAlign w:val="superscript"/>
              </w:rPr>
              <w:t>th</w:t>
            </w:r>
            <w:r>
              <w:rPr>
                <w:rFonts w:ascii="Open Sans Light" w:hAnsi="Open Sans Light"/>
                <w:sz w:val="22"/>
              </w:rPr>
              <w:t xml:space="preserve"> March might be limited to primary schools. The opening of non-essential retail and what comprises this </w:t>
            </w:r>
            <w:r>
              <w:rPr>
                <w:rFonts w:ascii="Open Sans Light" w:hAnsi="Open Sans Light"/>
                <w:sz w:val="22"/>
              </w:rPr>
              <w:lastRenderedPageBreak/>
              <w:t xml:space="preserve">group is also a guessing game. Recent moves to introduce quarantine measures that </w:t>
            </w:r>
            <w:r w:rsidR="00A767EE">
              <w:rPr>
                <w:rFonts w:ascii="Open Sans Light" w:hAnsi="Open Sans Light"/>
                <w:sz w:val="22"/>
              </w:rPr>
              <w:t xml:space="preserve">deter overseas visitors, along with the very slow </w:t>
            </w:r>
            <w:r w:rsidR="00222D99">
              <w:rPr>
                <w:rFonts w:ascii="Open Sans Light" w:hAnsi="Open Sans Light"/>
                <w:sz w:val="22"/>
              </w:rPr>
              <w:t xml:space="preserve">EU </w:t>
            </w:r>
            <w:r w:rsidR="00A767EE">
              <w:rPr>
                <w:rFonts w:ascii="Open Sans Light" w:hAnsi="Open Sans Light"/>
                <w:sz w:val="22"/>
              </w:rPr>
              <w:t>progress in C-19 vaccine deployment a</w:t>
            </w:r>
            <w:r w:rsidR="00222D99">
              <w:rPr>
                <w:rFonts w:ascii="Open Sans Light" w:hAnsi="Open Sans Light"/>
                <w:sz w:val="22"/>
              </w:rPr>
              <w:t>re</w:t>
            </w:r>
            <w:r w:rsidR="00A767EE">
              <w:rPr>
                <w:rFonts w:ascii="Open Sans Light" w:hAnsi="Open Sans Light"/>
                <w:sz w:val="22"/>
              </w:rPr>
              <w:t xml:space="preserve"> dampeners to the notion that 2021 w</w:t>
            </w:r>
            <w:r w:rsidR="00222D99">
              <w:rPr>
                <w:rFonts w:ascii="Open Sans Light" w:hAnsi="Open Sans Light"/>
                <w:sz w:val="22"/>
              </w:rPr>
              <w:t>ill</w:t>
            </w:r>
            <w:r w:rsidR="00A767EE">
              <w:rPr>
                <w:rFonts w:ascii="Open Sans Light" w:hAnsi="Open Sans Light"/>
                <w:sz w:val="22"/>
              </w:rPr>
              <w:t xml:space="preserve"> see a quick </w:t>
            </w:r>
            <w:r w:rsidR="00222D99">
              <w:rPr>
                <w:rFonts w:ascii="Open Sans Light" w:hAnsi="Open Sans Light"/>
                <w:sz w:val="22"/>
              </w:rPr>
              <w:t>normalisation</w:t>
            </w:r>
            <w:r w:rsidR="00A767EE">
              <w:rPr>
                <w:rFonts w:ascii="Open Sans Light" w:hAnsi="Open Sans Light"/>
                <w:sz w:val="22"/>
              </w:rPr>
              <w:t>. Indeed on the basis of</w:t>
            </w:r>
            <w:r w:rsidR="00222D99">
              <w:rPr>
                <w:rFonts w:ascii="Open Sans Light" w:hAnsi="Open Sans Light"/>
                <w:sz w:val="22"/>
              </w:rPr>
              <w:t xml:space="preserve"> 2021</w:t>
            </w:r>
            <w:r w:rsidR="00A767EE">
              <w:rPr>
                <w:rFonts w:ascii="Open Sans Light" w:hAnsi="Open Sans Light"/>
                <w:sz w:val="22"/>
              </w:rPr>
              <w:t xml:space="preserve"> to date, a </w:t>
            </w:r>
            <w:r w:rsidR="00222D99">
              <w:rPr>
                <w:rFonts w:ascii="Open Sans Light" w:hAnsi="Open Sans Light"/>
                <w:sz w:val="22"/>
              </w:rPr>
              <w:t>‘</w:t>
            </w:r>
            <w:r w:rsidR="00A767EE">
              <w:rPr>
                <w:rFonts w:ascii="Open Sans Light" w:hAnsi="Open Sans Light"/>
                <w:sz w:val="22"/>
              </w:rPr>
              <w:t>new normal</w:t>
            </w:r>
            <w:r w:rsidR="00222D99">
              <w:rPr>
                <w:rFonts w:ascii="Open Sans Light" w:hAnsi="Open Sans Light"/>
                <w:sz w:val="22"/>
              </w:rPr>
              <w:t>’</w:t>
            </w:r>
            <w:r w:rsidR="00A767EE">
              <w:rPr>
                <w:rFonts w:ascii="Open Sans Light" w:hAnsi="Open Sans Light"/>
                <w:sz w:val="22"/>
              </w:rPr>
              <w:t xml:space="preserve"> may be possible in H2 only with 2019 normality </w:t>
            </w:r>
            <w:r w:rsidR="007579CE">
              <w:rPr>
                <w:rFonts w:ascii="Open Sans Light" w:hAnsi="Open Sans Light"/>
                <w:sz w:val="22"/>
              </w:rPr>
              <w:t xml:space="preserve">i.e. </w:t>
            </w:r>
            <w:r w:rsidR="00A767EE">
              <w:rPr>
                <w:rFonts w:ascii="Open Sans Light" w:hAnsi="Open Sans Light"/>
                <w:sz w:val="22"/>
              </w:rPr>
              <w:t>‘normality’ in 2022.</w:t>
            </w:r>
          </w:p>
          <w:p w14:paraId="6B994BDF" w14:textId="77777777" w:rsidR="00FF2BD4" w:rsidRDefault="00A767EE" w:rsidP="00E07D38">
            <w:pPr>
              <w:spacing w:before="120" w:after="120"/>
              <w:jc w:val="both"/>
              <w:rPr>
                <w:rFonts w:ascii="Open Sans Light" w:hAnsi="Open Sans Light"/>
                <w:sz w:val="22"/>
              </w:rPr>
            </w:pPr>
            <w:r>
              <w:rPr>
                <w:rFonts w:ascii="Open Sans Light" w:hAnsi="Open Sans Light"/>
                <w:sz w:val="22"/>
              </w:rPr>
              <w:t xml:space="preserve">This begs the question of what </w:t>
            </w:r>
            <w:r w:rsidR="007579CE">
              <w:rPr>
                <w:rFonts w:ascii="Open Sans Light" w:hAnsi="Open Sans Light"/>
                <w:sz w:val="22"/>
              </w:rPr>
              <w:t>does</w:t>
            </w:r>
            <w:r>
              <w:rPr>
                <w:rFonts w:ascii="Open Sans Light" w:hAnsi="Open Sans Light"/>
                <w:sz w:val="22"/>
              </w:rPr>
              <w:t xml:space="preserve"> the ‘new normal’ look</w:t>
            </w:r>
            <w:r w:rsidR="008E3AA6">
              <w:rPr>
                <w:rFonts w:ascii="Open Sans Light" w:hAnsi="Open Sans Light"/>
                <w:sz w:val="22"/>
              </w:rPr>
              <w:t>s like</w:t>
            </w:r>
            <w:r w:rsidR="007579CE">
              <w:rPr>
                <w:rFonts w:ascii="Open Sans Light" w:hAnsi="Open Sans Light"/>
                <w:sz w:val="22"/>
              </w:rPr>
              <w:t>?</w:t>
            </w:r>
            <w:r w:rsidR="008E3AA6">
              <w:rPr>
                <w:rFonts w:ascii="Open Sans Light" w:hAnsi="Open Sans Light"/>
                <w:sz w:val="22"/>
              </w:rPr>
              <w:t xml:space="preserve"> The parts of the economy that were unhurt, have carried on </w:t>
            </w:r>
            <w:r w:rsidR="007579CE">
              <w:rPr>
                <w:rFonts w:ascii="Open Sans Light" w:hAnsi="Open Sans Light"/>
                <w:sz w:val="22"/>
              </w:rPr>
              <w:t>growing</w:t>
            </w:r>
            <w:r w:rsidR="008E3AA6">
              <w:rPr>
                <w:rFonts w:ascii="Open Sans Light" w:hAnsi="Open Sans Light"/>
                <w:sz w:val="22"/>
              </w:rPr>
              <w:t>, whilst the parts of the economy that can recover will require an easing of restrictions to do so. Then there is that part of the economy that is permanently damaged and represents lost output</w:t>
            </w:r>
            <w:r w:rsidR="00AC7ECF">
              <w:rPr>
                <w:rFonts w:ascii="Open Sans Light" w:hAnsi="Open Sans Light"/>
                <w:sz w:val="22"/>
              </w:rPr>
              <w:t>,</w:t>
            </w:r>
            <w:r w:rsidR="008E3AA6">
              <w:rPr>
                <w:rFonts w:ascii="Open Sans Light" w:hAnsi="Open Sans Light"/>
                <w:sz w:val="22"/>
              </w:rPr>
              <w:t xml:space="preserve"> higher structural unemployment</w:t>
            </w:r>
            <w:r w:rsidR="00AC7ECF">
              <w:rPr>
                <w:rFonts w:ascii="Open Sans Light" w:hAnsi="Open Sans Light"/>
                <w:sz w:val="22"/>
              </w:rPr>
              <w:t xml:space="preserve"> and </w:t>
            </w:r>
            <w:r w:rsidR="00FF2BD4">
              <w:rPr>
                <w:rFonts w:ascii="Open Sans Light" w:hAnsi="Open Sans Light"/>
                <w:sz w:val="22"/>
              </w:rPr>
              <w:t>activities that are</w:t>
            </w:r>
            <w:r w:rsidR="00AC7ECF">
              <w:rPr>
                <w:rFonts w:ascii="Open Sans Light" w:hAnsi="Open Sans Light"/>
                <w:sz w:val="22"/>
              </w:rPr>
              <w:t xml:space="preserve"> not coming back</w:t>
            </w:r>
            <w:r w:rsidR="008E3AA6">
              <w:rPr>
                <w:rFonts w:ascii="Open Sans Light" w:hAnsi="Open Sans Light"/>
                <w:sz w:val="22"/>
              </w:rPr>
              <w:t xml:space="preserve">. </w:t>
            </w:r>
          </w:p>
          <w:p w14:paraId="3A878909" w14:textId="701985AA" w:rsidR="008E3AA6" w:rsidRDefault="00514975" w:rsidP="00E07D38">
            <w:pPr>
              <w:spacing w:before="120" w:after="120"/>
              <w:jc w:val="both"/>
              <w:rPr>
                <w:rFonts w:ascii="Open Sans Light" w:hAnsi="Open Sans Light"/>
                <w:sz w:val="22"/>
              </w:rPr>
            </w:pPr>
            <w:r>
              <w:rPr>
                <w:rFonts w:ascii="Open Sans Light" w:hAnsi="Open Sans Light"/>
                <w:sz w:val="22"/>
              </w:rPr>
              <w:t>C</w:t>
            </w:r>
            <w:r w:rsidR="008E3AA6">
              <w:rPr>
                <w:rFonts w:ascii="Open Sans Light" w:hAnsi="Open Sans Light"/>
                <w:sz w:val="22"/>
              </w:rPr>
              <w:t>urrent levels of US unemployment remain as bad as the early 1980s.</w:t>
            </w:r>
            <w:r>
              <w:rPr>
                <w:rFonts w:ascii="Open Sans Light" w:hAnsi="Open Sans Light"/>
                <w:sz w:val="22"/>
              </w:rPr>
              <w:t xml:space="preserve"> On that point, the true level of UK unemployment is being disguised by the furlough programme</w:t>
            </w:r>
            <w:r w:rsidR="007579CE">
              <w:rPr>
                <w:rFonts w:ascii="Open Sans Light" w:hAnsi="Open Sans Light"/>
                <w:sz w:val="22"/>
              </w:rPr>
              <w:t xml:space="preserve"> hence it is not possible to say </w:t>
            </w:r>
            <w:r w:rsidR="00FF2BD4">
              <w:rPr>
                <w:rFonts w:ascii="Open Sans Light" w:hAnsi="Open Sans Light"/>
                <w:sz w:val="22"/>
              </w:rPr>
              <w:t xml:space="preserve">now </w:t>
            </w:r>
            <w:r w:rsidR="007579CE">
              <w:rPr>
                <w:rFonts w:ascii="Open Sans Light" w:hAnsi="Open Sans Light"/>
                <w:sz w:val="22"/>
              </w:rPr>
              <w:t>wh</w:t>
            </w:r>
            <w:r w:rsidR="00FF2BD4">
              <w:rPr>
                <w:rFonts w:ascii="Open Sans Light" w:hAnsi="Open Sans Light"/>
                <w:sz w:val="22"/>
              </w:rPr>
              <w:t>at is structural unemployment.</w:t>
            </w:r>
          </w:p>
          <w:p w14:paraId="56F29AEE" w14:textId="6C7853C4" w:rsidR="007579CE" w:rsidRDefault="00DB3B42" w:rsidP="00E07D38">
            <w:pPr>
              <w:spacing w:before="120" w:after="120"/>
              <w:jc w:val="both"/>
              <w:rPr>
                <w:rFonts w:ascii="Open Sans Light" w:hAnsi="Open Sans Light"/>
                <w:sz w:val="22"/>
              </w:rPr>
            </w:pPr>
            <w:r>
              <w:rPr>
                <w:rFonts w:ascii="Open Sans Light" w:hAnsi="Open Sans Light"/>
                <w:sz w:val="22"/>
              </w:rPr>
              <w:t xml:space="preserve">Using ONS data as a guide, of the 9.9% lost GDP over 2020, at least half of this </w:t>
            </w:r>
            <w:r w:rsidR="007579CE">
              <w:rPr>
                <w:rFonts w:ascii="Open Sans Light" w:hAnsi="Open Sans Light"/>
                <w:sz w:val="22"/>
              </w:rPr>
              <w:t xml:space="preserve">c. </w:t>
            </w:r>
            <w:r>
              <w:rPr>
                <w:rFonts w:ascii="Open Sans Light" w:hAnsi="Open Sans Light"/>
                <w:sz w:val="22"/>
              </w:rPr>
              <w:t>4.</w:t>
            </w:r>
            <w:r w:rsidR="00222D99">
              <w:rPr>
                <w:rFonts w:ascii="Open Sans Light" w:hAnsi="Open Sans Light"/>
                <w:sz w:val="22"/>
              </w:rPr>
              <w:t>5</w:t>
            </w:r>
            <w:r>
              <w:rPr>
                <w:rFonts w:ascii="Open Sans Light" w:hAnsi="Open Sans Light"/>
                <w:sz w:val="22"/>
              </w:rPr>
              <w:t>% is retrievable from parts of the economy that can recover with</w:t>
            </w:r>
            <w:r w:rsidR="007579CE">
              <w:rPr>
                <w:rFonts w:ascii="Open Sans Light" w:hAnsi="Open Sans Light"/>
                <w:sz w:val="22"/>
              </w:rPr>
              <w:t xml:space="preserve">out </w:t>
            </w:r>
            <w:r>
              <w:rPr>
                <w:rFonts w:ascii="Open Sans Light" w:hAnsi="Open Sans Light"/>
                <w:sz w:val="22"/>
              </w:rPr>
              <w:t>restrictions</w:t>
            </w:r>
            <w:r w:rsidR="007579CE">
              <w:rPr>
                <w:rFonts w:ascii="Open Sans Light" w:hAnsi="Open Sans Light"/>
                <w:sz w:val="22"/>
              </w:rPr>
              <w:t>.</w:t>
            </w:r>
            <w:r w:rsidR="00FF2BD4">
              <w:rPr>
                <w:rFonts w:ascii="Open Sans Light" w:hAnsi="Open Sans Light"/>
                <w:sz w:val="22"/>
              </w:rPr>
              <w:t xml:space="preserve"> </w:t>
            </w:r>
            <w:r w:rsidR="007579CE">
              <w:rPr>
                <w:rFonts w:ascii="Open Sans Light" w:hAnsi="Open Sans Light"/>
                <w:sz w:val="22"/>
              </w:rPr>
              <w:t xml:space="preserve">The concern on the last 4.4% is the extent that post C-19, companies </w:t>
            </w:r>
            <w:r w:rsidR="00116071">
              <w:rPr>
                <w:rFonts w:ascii="Open Sans Light" w:hAnsi="Open Sans Light"/>
                <w:sz w:val="22"/>
              </w:rPr>
              <w:t>have</w:t>
            </w:r>
            <w:r w:rsidR="007579CE">
              <w:rPr>
                <w:rFonts w:ascii="Open Sans Light" w:hAnsi="Open Sans Light"/>
                <w:sz w:val="22"/>
              </w:rPr>
              <w:t xml:space="preserve"> re-appraise</w:t>
            </w:r>
            <w:r w:rsidR="00116071">
              <w:rPr>
                <w:rFonts w:ascii="Open Sans Light" w:hAnsi="Open Sans Light"/>
                <w:sz w:val="22"/>
              </w:rPr>
              <w:t>d</w:t>
            </w:r>
            <w:r w:rsidR="007579CE">
              <w:rPr>
                <w:rFonts w:ascii="Open Sans Light" w:hAnsi="Open Sans Light"/>
                <w:sz w:val="22"/>
              </w:rPr>
              <w:t xml:space="preserve"> their staff commitment, office needs, overseas trips, corporate events etc.</w:t>
            </w:r>
            <w:r w:rsidR="00116071">
              <w:rPr>
                <w:rFonts w:ascii="Open Sans Light" w:hAnsi="Open Sans Light"/>
                <w:sz w:val="22"/>
              </w:rPr>
              <w:t xml:space="preserve"> This</w:t>
            </w:r>
            <w:r w:rsidR="00853BCA">
              <w:rPr>
                <w:rFonts w:ascii="Open Sans Light" w:hAnsi="Open Sans Light"/>
                <w:sz w:val="22"/>
              </w:rPr>
              <w:t xml:space="preserve"> bit</w:t>
            </w:r>
            <w:r w:rsidR="00116071">
              <w:rPr>
                <w:rFonts w:ascii="Open Sans Light" w:hAnsi="Open Sans Light"/>
                <w:sz w:val="22"/>
              </w:rPr>
              <w:t xml:space="preserve"> </w:t>
            </w:r>
            <w:r w:rsidR="00853BCA">
              <w:rPr>
                <w:rFonts w:ascii="Open Sans Light" w:hAnsi="Open Sans Light"/>
                <w:sz w:val="22"/>
              </w:rPr>
              <w:t xml:space="preserve">mainly </w:t>
            </w:r>
            <w:r w:rsidR="00116071">
              <w:rPr>
                <w:rFonts w:ascii="Open Sans Light" w:hAnsi="Open Sans Light"/>
                <w:sz w:val="22"/>
              </w:rPr>
              <w:t>represents lost GDP.</w:t>
            </w:r>
          </w:p>
          <w:p w14:paraId="66788E1B" w14:textId="4A5CC371" w:rsidR="008E3AA6" w:rsidRDefault="008E3AA6" w:rsidP="00E07D38">
            <w:pPr>
              <w:spacing w:before="120" w:after="120"/>
              <w:jc w:val="both"/>
              <w:rPr>
                <w:rFonts w:ascii="Open Sans Light" w:hAnsi="Open Sans Light"/>
                <w:sz w:val="22"/>
              </w:rPr>
            </w:pPr>
            <w:r>
              <w:rPr>
                <w:rFonts w:ascii="Open Sans Light" w:hAnsi="Open Sans Light"/>
                <w:sz w:val="22"/>
              </w:rPr>
              <w:t>There is a</w:t>
            </w:r>
            <w:r w:rsidR="00853BCA">
              <w:rPr>
                <w:rFonts w:ascii="Open Sans Light" w:hAnsi="Open Sans Light"/>
                <w:sz w:val="22"/>
              </w:rPr>
              <w:t xml:space="preserve"> view</w:t>
            </w:r>
            <w:r>
              <w:rPr>
                <w:rFonts w:ascii="Open Sans Light" w:hAnsi="Open Sans Light"/>
                <w:sz w:val="22"/>
              </w:rPr>
              <w:t xml:space="preserve"> that the leisure sector </w:t>
            </w:r>
            <w:r w:rsidR="00853BCA">
              <w:rPr>
                <w:rFonts w:ascii="Open Sans Light" w:hAnsi="Open Sans Light"/>
                <w:sz w:val="22"/>
              </w:rPr>
              <w:t>will</w:t>
            </w:r>
            <w:r>
              <w:rPr>
                <w:rFonts w:ascii="Open Sans Light" w:hAnsi="Open Sans Light"/>
                <w:sz w:val="22"/>
              </w:rPr>
              <w:t xml:space="preserve"> rebound strongly on</w:t>
            </w:r>
            <w:r w:rsidR="00853BCA">
              <w:rPr>
                <w:rFonts w:ascii="Open Sans Light" w:hAnsi="Open Sans Light"/>
                <w:sz w:val="22"/>
              </w:rPr>
              <w:t xml:space="preserve"> easing</w:t>
            </w:r>
            <w:r>
              <w:rPr>
                <w:rFonts w:ascii="Open Sans Light" w:hAnsi="Open Sans Light"/>
                <w:sz w:val="22"/>
              </w:rPr>
              <w:t xml:space="preserve"> C-19 restrictions and its recovery would be at the expense of IT/ software/ home improvements. This purely binary view of the world</w:t>
            </w:r>
            <w:r w:rsidR="00222D99">
              <w:rPr>
                <w:rFonts w:ascii="Open Sans Light" w:hAnsi="Open Sans Light"/>
                <w:sz w:val="22"/>
              </w:rPr>
              <w:t xml:space="preserve"> is</w:t>
            </w:r>
            <w:r>
              <w:rPr>
                <w:rFonts w:ascii="Open Sans Light" w:hAnsi="Open Sans Light"/>
                <w:sz w:val="22"/>
              </w:rPr>
              <w:t xml:space="preserve"> simplistic. </w:t>
            </w:r>
            <w:r w:rsidR="00514975">
              <w:rPr>
                <w:rFonts w:ascii="Open Sans Light" w:hAnsi="Open Sans Light"/>
                <w:sz w:val="22"/>
              </w:rPr>
              <w:t xml:space="preserve"> If we take the view that the UK government will discourage overseas summer holiday</w:t>
            </w:r>
            <w:r w:rsidR="00116071">
              <w:rPr>
                <w:rFonts w:ascii="Open Sans Light" w:hAnsi="Open Sans Light"/>
                <w:sz w:val="22"/>
              </w:rPr>
              <w:t>s</w:t>
            </w:r>
            <w:r w:rsidR="00514975">
              <w:rPr>
                <w:rFonts w:ascii="Open Sans Light" w:hAnsi="Open Sans Light"/>
                <w:sz w:val="22"/>
              </w:rPr>
              <w:t xml:space="preserve"> then we are still only allowed staycations</w:t>
            </w:r>
            <w:r w:rsidR="00222D99">
              <w:rPr>
                <w:rFonts w:ascii="Open Sans Light" w:hAnsi="Open Sans Light"/>
                <w:sz w:val="22"/>
              </w:rPr>
              <w:t xml:space="preserve"> and local entertainments.</w:t>
            </w:r>
            <w:r w:rsidR="00FF2BD4">
              <w:rPr>
                <w:rFonts w:ascii="Open Sans Light" w:hAnsi="Open Sans Light"/>
                <w:sz w:val="22"/>
              </w:rPr>
              <w:t xml:space="preserve"> Not much of a leisure recovery will be possible.</w:t>
            </w:r>
          </w:p>
          <w:p w14:paraId="416F8B40" w14:textId="58668C0A" w:rsidR="00222D99" w:rsidRDefault="00222D99" w:rsidP="00E07D38">
            <w:pPr>
              <w:spacing w:before="120" w:after="120"/>
              <w:jc w:val="both"/>
              <w:rPr>
                <w:rFonts w:ascii="Open Sans Light" w:hAnsi="Open Sans Light"/>
                <w:sz w:val="22"/>
              </w:rPr>
            </w:pPr>
            <w:r>
              <w:rPr>
                <w:rFonts w:ascii="Open Sans Light" w:hAnsi="Open Sans Light"/>
                <w:sz w:val="22"/>
              </w:rPr>
              <w:t>In terms of international events, and the fate of the</w:t>
            </w:r>
            <w:r w:rsidR="00066A31">
              <w:rPr>
                <w:rFonts w:ascii="Open Sans Light" w:hAnsi="Open Sans Light"/>
                <w:sz w:val="22"/>
              </w:rPr>
              <w:t xml:space="preserve"> </w:t>
            </w:r>
            <w:r>
              <w:rPr>
                <w:rFonts w:ascii="Open Sans Light" w:hAnsi="Open Sans Light"/>
                <w:sz w:val="22"/>
              </w:rPr>
              <w:t>Tokyo Olympics (23 July- 8</w:t>
            </w:r>
            <w:r w:rsidRPr="00222D99">
              <w:rPr>
                <w:rFonts w:ascii="Open Sans Light" w:hAnsi="Open Sans Light"/>
                <w:sz w:val="22"/>
                <w:vertAlign w:val="superscript"/>
              </w:rPr>
              <w:t>th</w:t>
            </w:r>
            <w:r>
              <w:rPr>
                <w:rFonts w:ascii="Open Sans Light" w:hAnsi="Open Sans Light"/>
                <w:sz w:val="22"/>
              </w:rPr>
              <w:t xml:space="preserve"> August 2021) </w:t>
            </w:r>
            <w:r w:rsidR="00066A31">
              <w:rPr>
                <w:rFonts w:ascii="Open Sans Light" w:hAnsi="Open Sans Light"/>
                <w:sz w:val="22"/>
              </w:rPr>
              <w:t>my expectation is this event will happen, with very high C-19 security including a C-19 vaccine passport system. However I recognize the high probability of</w:t>
            </w:r>
            <w:r w:rsidR="00116071">
              <w:rPr>
                <w:rFonts w:ascii="Open Sans Light" w:hAnsi="Open Sans Light"/>
                <w:sz w:val="22"/>
              </w:rPr>
              <w:t xml:space="preserve"> a disastrous</w:t>
            </w:r>
            <w:r w:rsidR="00066A31">
              <w:rPr>
                <w:rFonts w:ascii="Open Sans Light" w:hAnsi="Open Sans Light"/>
                <w:sz w:val="22"/>
              </w:rPr>
              <w:t xml:space="preserve"> </w:t>
            </w:r>
            <w:r w:rsidR="00116071">
              <w:rPr>
                <w:rFonts w:ascii="Open Sans Light" w:hAnsi="Open Sans Light"/>
                <w:sz w:val="22"/>
              </w:rPr>
              <w:t>second</w:t>
            </w:r>
            <w:r w:rsidR="00066A31">
              <w:rPr>
                <w:rFonts w:ascii="Open Sans Light" w:hAnsi="Open Sans Light"/>
                <w:sz w:val="22"/>
              </w:rPr>
              <w:t xml:space="preserve"> cancellation, which would be bad for 2021 as a year of events recovery.</w:t>
            </w:r>
          </w:p>
          <w:p w14:paraId="12C54864" w14:textId="23E6ADB6" w:rsidR="008E3AA6" w:rsidRDefault="00514975" w:rsidP="00E07D38">
            <w:pPr>
              <w:spacing w:before="120" w:after="120"/>
              <w:jc w:val="both"/>
              <w:rPr>
                <w:rFonts w:ascii="Open Sans Light" w:hAnsi="Open Sans Light"/>
                <w:sz w:val="22"/>
              </w:rPr>
            </w:pPr>
            <w:r>
              <w:rPr>
                <w:rFonts w:ascii="Open Sans Light" w:hAnsi="Open Sans Light"/>
                <w:sz w:val="22"/>
              </w:rPr>
              <w:t>What pecking order are we dealing with</w:t>
            </w:r>
            <w:r w:rsidR="00DB3B42">
              <w:rPr>
                <w:rFonts w:ascii="Open Sans Light" w:hAnsi="Open Sans Light"/>
                <w:sz w:val="22"/>
              </w:rPr>
              <w:t xml:space="preserve">, who </w:t>
            </w:r>
            <w:r>
              <w:rPr>
                <w:rFonts w:ascii="Open Sans Light" w:hAnsi="Open Sans Light"/>
                <w:sz w:val="22"/>
              </w:rPr>
              <w:t>recover</w:t>
            </w:r>
            <w:r w:rsidR="007579CE">
              <w:rPr>
                <w:rFonts w:ascii="Open Sans Light" w:hAnsi="Open Sans Light"/>
                <w:sz w:val="22"/>
              </w:rPr>
              <w:t>s</w:t>
            </w:r>
            <w:r>
              <w:rPr>
                <w:rFonts w:ascii="Open Sans Light" w:hAnsi="Open Sans Light"/>
                <w:sz w:val="22"/>
              </w:rPr>
              <w:t xml:space="preserve"> first, in the middle and </w:t>
            </w:r>
            <w:r w:rsidR="007579CE">
              <w:rPr>
                <w:rFonts w:ascii="Open Sans Light" w:hAnsi="Open Sans Light"/>
                <w:sz w:val="22"/>
              </w:rPr>
              <w:t>last</w:t>
            </w:r>
            <w:r>
              <w:rPr>
                <w:rFonts w:ascii="Open Sans Light" w:hAnsi="Open Sans Light"/>
                <w:sz w:val="22"/>
              </w:rPr>
              <w:t>?</w:t>
            </w:r>
          </w:p>
          <w:p w14:paraId="4F3F0DED" w14:textId="41E6637A" w:rsidR="00514975" w:rsidRPr="00DB3B42" w:rsidRDefault="00DB3B42" w:rsidP="00DB3B42">
            <w:pPr>
              <w:pStyle w:val="ListParagraph"/>
              <w:numPr>
                <w:ilvl w:val="0"/>
                <w:numId w:val="15"/>
              </w:numPr>
              <w:spacing w:before="120" w:after="120"/>
              <w:jc w:val="both"/>
              <w:rPr>
                <w:rFonts w:ascii="Open Sans Light" w:hAnsi="Open Sans Light"/>
                <w:sz w:val="22"/>
              </w:rPr>
            </w:pPr>
            <w:r w:rsidRPr="00DB3B42">
              <w:rPr>
                <w:rFonts w:ascii="Open Sans Light" w:hAnsi="Open Sans Light"/>
                <w:sz w:val="22"/>
              </w:rPr>
              <w:t>C</w:t>
            </w:r>
            <w:r w:rsidR="00514975" w:rsidRPr="00DB3B42">
              <w:rPr>
                <w:rFonts w:ascii="Open Sans Light" w:hAnsi="Open Sans Light"/>
                <w:sz w:val="22"/>
              </w:rPr>
              <w:t>rude oil is recovering</w:t>
            </w:r>
            <w:r w:rsidRPr="00DB3B42">
              <w:rPr>
                <w:rFonts w:ascii="Open Sans Light" w:hAnsi="Open Sans Light"/>
                <w:sz w:val="22"/>
              </w:rPr>
              <w:t>, without an aviation recovery, oil demand has returned to 2019 levels already in a number of countries, India &amp; China for example.</w:t>
            </w:r>
            <w:r>
              <w:rPr>
                <w:rFonts w:ascii="Open Sans Light" w:hAnsi="Open Sans Light"/>
                <w:sz w:val="22"/>
              </w:rPr>
              <w:t xml:space="preserve"> The demand picture is starting to look very firm.</w:t>
            </w:r>
            <w:r w:rsidR="00116071">
              <w:rPr>
                <w:rFonts w:ascii="Open Sans Light" w:hAnsi="Open Sans Light"/>
                <w:sz w:val="22"/>
              </w:rPr>
              <w:t xml:space="preserve"> Oil is back in the driving seat.</w:t>
            </w:r>
          </w:p>
          <w:p w14:paraId="4F38FE45" w14:textId="0985DE1D" w:rsidR="00DB3B42" w:rsidRDefault="00DB3B42" w:rsidP="00DB3B42">
            <w:pPr>
              <w:pStyle w:val="ListParagraph"/>
              <w:numPr>
                <w:ilvl w:val="0"/>
                <w:numId w:val="15"/>
              </w:numPr>
              <w:spacing w:before="120" w:after="120"/>
              <w:jc w:val="both"/>
              <w:rPr>
                <w:rFonts w:ascii="Open Sans Light" w:hAnsi="Open Sans Light"/>
                <w:sz w:val="22"/>
              </w:rPr>
            </w:pPr>
            <w:r>
              <w:rPr>
                <w:rFonts w:ascii="Open Sans Light" w:hAnsi="Open Sans Light"/>
                <w:sz w:val="22"/>
              </w:rPr>
              <w:t xml:space="preserve">Transport, bus/rail travel is an early recovery </w:t>
            </w:r>
            <w:r w:rsidR="00222D99">
              <w:rPr>
                <w:rFonts w:ascii="Open Sans Light" w:hAnsi="Open Sans Light"/>
                <w:sz w:val="22"/>
              </w:rPr>
              <w:t xml:space="preserve">story </w:t>
            </w:r>
            <w:r>
              <w:rPr>
                <w:rFonts w:ascii="Open Sans Light" w:hAnsi="Open Sans Light"/>
                <w:sz w:val="22"/>
              </w:rPr>
              <w:t>especially if companies encourage more office working / schools return/ staycations occur/ there is a re-opening of some city centre cultural activities.</w:t>
            </w:r>
          </w:p>
          <w:p w14:paraId="159921B0" w14:textId="0AC65DCE" w:rsidR="00DB3B42" w:rsidRDefault="00DB3B42" w:rsidP="00DB3B42">
            <w:pPr>
              <w:pStyle w:val="ListParagraph"/>
              <w:numPr>
                <w:ilvl w:val="0"/>
                <w:numId w:val="15"/>
              </w:numPr>
              <w:spacing w:before="120" w:after="120"/>
              <w:jc w:val="both"/>
              <w:rPr>
                <w:rFonts w:ascii="Open Sans Light" w:hAnsi="Open Sans Light"/>
                <w:sz w:val="22"/>
              </w:rPr>
            </w:pPr>
            <w:r>
              <w:rPr>
                <w:rFonts w:ascii="Open Sans Light" w:hAnsi="Open Sans Light"/>
                <w:sz w:val="22"/>
              </w:rPr>
              <w:t>Non-essential retail</w:t>
            </w:r>
            <w:r w:rsidR="00066A31">
              <w:rPr>
                <w:rFonts w:ascii="Open Sans Light" w:hAnsi="Open Sans Light"/>
                <w:sz w:val="22"/>
              </w:rPr>
              <w:t xml:space="preserve"> shops</w:t>
            </w:r>
            <w:r>
              <w:rPr>
                <w:rFonts w:ascii="Open Sans Light" w:hAnsi="Open Sans Light"/>
                <w:sz w:val="22"/>
              </w:rPr>
              <w:t xml:space="preserve">, pubs &amp; restaurants – broadly high street linked activities. We expect this will be eased </w:t>
            </w:r>
            <w:r w:rsidR="00222D99">
              <w:rPr>
                <w:rFonts w:ascii="Open Sans Light" w:hAnsi="Open Sans Light"/>
                <w:sz w:val="22"/>
              </w:rPr>
              <w:t>in April or before.</w:t>
            </w:r>
          </w:p>
          <w:p w14:paraId="159532D2" w14:textId="198D6C43" w:rsidR="00222D99" w:rsidRDefault="00222D99" w:rsidP="00DB3B42">
            <w:pPr>
              <w:pStyle w:val="ListParagraph"/>
              <w:numPr>
                <w:ilvl w:val="0"/>
                <w:numId w:val="15"/>
              </w:numPr>
              <w:spacing w:before="120" w:after="120"/>
              <w:jc w:val="both"/>
              <w:rPr>
                <w:rFonts w:ascii="Open Sans Light" w:hAnsi="Open Sans Light"/>
                <w:sz w:val="22"/>
              </w:rPr>
            </w:pPr>
            <w:r>
              <w:rPr>
                <w:rFonts w:ascii="Open Sans Light" w:hAnsi="Open Sans Light"/>
                <w:sz w:val="22"/>
              </w:rPr>
              <w:t>City centre re-openings possibly in May/ June</w:t>
            </w:r>
          </w:p>
          <w:p w14:paraId="2CA42E49" w14:textId="63A2F129" w:rsidR="00222D99" w:rsidRDefault="00DB3B42" w:rsidP="00066A31">
            <w:pPr>
              <w:pStyle w:val="ListParagraph"/>
              <w:numPr>
                <w:ilvl w:val="0"/>
                <w:numId w:val="15"/>
              </w:numPr>
              <w:spacing w:before="120" w:after="120"/>
              <w:jc w:val="both"/>
              <w:rPr>
                <w:rFonts w:ascii="Open Sans Light" w:hAnsi="Open Sans Light"/>
                <w:sz w:val="22"/>
              </w:rPr>
            </w:pPr>
            <w:r>
              <w:rPr>
                <w:rFonts w:ascii="Open Sans Light" w:hAnsi="Open Sans Light"/>
                <w:sz w:val="22"/>
              </w:rPr>
              <w:t xml:space="preserve">Theatres, cinemas, museums, </w:t>
            </w:r>
            <w:r w:rsidR="00222D99">
              <w:rPr>
                <w:rFonts w:ascii="Open Sans Light" w:hAnsi="Open Sans Light"/>
                <w:sz w:val="22"/>
              </w:rPr>
              <w:t>exhibitions, sporting events, I expect could be a late May - June/ H2 2021 timetable.</w:t>
            </w:r>
          </w:p>
          <w:p w14:paraId="7D0AAE1F" w14:textId="6BC4448A" w:rsidR="007579CE" w:rsidRPr="00066A31" w:rsidRDefault="007579CE" w:rsidP="00066A31">
            <w:pPr>
              <w:pStyle w:val="ListParagraph"/>
              <w:numPr>
                <w:ilvl w:val="0"/>
                <w:numId w:val="15"/>
              </w:numPr>
              <w:spacing w:before="120" w:after="120"/>
              <w:jc w:val="both"/>
              <w:rPr>
                <w:rFonts w:ascii="Open Sans Light" w:hAnsi="Open Sans Light"/>
                <w:sz w:val="22"/>
              </w:rPr>
            </w:pPr>
            <w:r>
              <w:rPr>
                <w:rFonts w:ascii="Open Sans Light" w:hAnsi="Open Sans Light"/>
                <w:sz w:val="22"/>
              </w:rPr>
              <w:t>Corporate events – dependent on Tokyo/ likely H2 2021 normalisation</w:t>
            </w:r>
          </w:p>
          <w:p w14:paraId="2798B786" w14:textId="74EEDD52" w:rsidR="00514975" w:rsidRDefault="00222D99" w:rsidP="00E07D38">
            <w:pPr>
              <w:pStyle w:val="ListParagraph"/>
              <w:numPr>
                <w:ilvl w:val="0"/>
                <w:numId w:val="15"/>
              </w:numPr>
              <w:spacing w:before="120" w:after="120"/>
              <w:jc w:val="both"/>
              <w:rPr>
                <w:rFonts w:ascii="Open Sans Light" w:hAnsi="Open Sans Light"/>
                <w:sz w:val="22"/>
              </w:rPr>
            </w:pPr>
            <w:r>
              <w:rPr>
                <w:rFonts w:ascii="Open Sans Light" w:hAnsi="Open Sans Light"/>
                <w:sz w:val="22"/>
              </w:rPr>
              <w:t>Aviation – the multi</w:t>
            </w:r>
            <w:r w:rsidR="00116071">
              <w:rPr>
                <w:rFonts w:ascii="Open Sans Light" w:hAnsi="Open Sans Light"/>
                <w:sz w:val="22"/>
              </w:rPr>
              <w:t>-</w:t>
            </w:r>
            <w:r>
              <w:rPr>
                <w:rFonts w:ascii="Open Sans Light" w:hAnsi="Open Sans Light"/>
                <w:sz w:val="22"/>
              </w:rPr>
              <w:t>billion</w:t>
            </w:r>
            <w:r w:rsidR="00116071">
              <w:rPr>
                <w:rFonts w:ascii="Open Sans Light" w:hAnsi="Open Sans Light"/>
                <w:sz w:val="22"/>
              </w:rPr>
              <w:t xml:space="preserve"> </w:t>
            </w:r>
            <w:r>
              <w:rPr>
                <w:rFonts w:ascii="Open Sans Light" w:hAnsi="Open Sans Light"/>
                <w:sz w:val="22"/>
              </w:rPr>
              <w:t xml:space="preserve">dollar question is the </w:t>
            </w:r>
            <w:r w:rsidR="00066A31">
              <w:rPr>
                <w:rFonts w:ascii="Open Sans Light" w:hAnsi="Open Sans Light"/>
                <w:sz w:val="22"/>
              </w:rPr>
              <w:t xml:space="preserve">fate of the 2021 summer holiday – again this is too close to call at the moment. But regardless of summer gallivanting around the world, the fragile state of the industry and rapidly rising debt load makes evaluating the equity very difficult. </w:t>
            </w:r>
            <w:r w:rsidR="007579CE">
              <w:rPr>
                <w:rFonts w:ascii="Open Sans Light" w:hAnsi="Open Sans Light"/>
                <w:sz w:val="22"/>
              </w:rPr>
              <w:t xml:space="preserve">Will tourism happen with the same vigour as before? Arguably not. </w:t>
            </w:r>
            <w:r w:rsidR="00066A31">
              <w:rPr>
                <w:rFonts w:ascii="Open Sans Light" w:hAnsi="Open Sans Light"/>
                <w:sz w:val="22"/>
              </w:rPr>
              <w:t xml:space="preserve">Airlines </w:t>
            </w:r>
            <w:r w:rsidR="007579CE">
              <w:rPr>
                <w:rFonts w:ascii="Open Sans Light" w:hAnsi="Open Sans Light"/>
                <w:sz w:val="22"/>
              </w:rPr>
              <w:t>regardless of their</w:t>
            </w:r>
            <w:r w:rsidR="00066A31">
              <w:rPr>
                <w:rFonts w:ascii="Open Sans Light" w:hAnsi="Open Sans Light"/>
                <w:sz w:val="22"/>
              </w:rPr>
              <w:t xml:space="preserve"> complexion </w:t>
            </w:r>
            <w:r w:rsidR="007579CE">
              <w:rPr>
                <w:rFonts w:ascii="Open Sans Light" w:hAnsi="Open Sans Light"/>
                <w:sz w:val="22"/>
              </w:rPr>
              <w:t xml:space="preserve">might </w:t>
            </w:r>
            <w:r w:rsidR="00066A31">
              <w:rPr>
                <w:rFonts w:ascii="Open Sans Light" w:hAnsi="Open Sans Light"/>
                <w:sz w:val="22"/>
              </w:rPr>
              <w:t>not have viable businesse</w:t>
            </w:r>
            <w:r w:rsidR="007579CE">
              <w:rPr>
                <w:rFonts w:ascii="Open Sans Light" w:hAnsi="Open Sans Light"/>
                <w:sz w:val="22"/>
              </w:rPr>
              <w:t>s until 2022.</w:t>
            </w:r>
          </w:p>
          <w:p w14:paraId="65043934" w14:textId="1E54BF0E" w:rsidR="007C0AD6" w:rsidRDefault="00066A31" w:rsidP="00E07D38">
            <w:pPr>
              <w:pStyle w:val="ListParagraph"/>
              <w:numPr>
                <w:ilvl w:val="0"/>
                <w:numId w:val="15"/>
              </w:numPr>
              <w:spacing w:before="120" w:after="120"/>
              <w:jc w:val="both"/>
              <w:rPr>
                <w:rFonts w:ascii="Open Sans Light" w:hAnsi="Open Sans Light"/>
                <w:sz w:val="22"/>
              </w:rPr>
            </w:pPr>
            <w:r>
              <w:rPr>
                <w:rFonts w:ascii="Open Sans Light" w:hAnsi="Open Sans Light"/>
                <w:sz w:val="22"/>
              </w:rPr>
              <w:t xml:space="preserve">Cruises – </w:t>
            </w:r>
            <w:r w:rsidR="00116071">
              <w:rPr>
                <w:rFonts w:ascii="Open Sans Light" w:hAnsi="Open Sans Light"/>
                <w:sz w:val="22"/>
              </w:rPr>
              <w:t>should</w:t>
            </w:r>
            <w:r>
              <w:rPr>
                <w:rFonts w:ascii="Open Sans Light" w:hAnsi="Open Sans Light"/>
                <w:sz w:val="22"/>
              </w:rPr>
              <w:t xml:space="preserve"> cruising be last or second last</w:t>
            </w:r>
            <w:r w:rsidR="00116071">
              <w:rPr>
                <w:rFonts w:ascii="Open Sans Light" w:hAnsi="Open Sans Light"/>
                <w:sz w:val="22"/>
              </w:rPr>
              <w:t>?</w:t>
            </w:r>
            <w:r>
              <w:rPr>
                <w:rFonts w:ascii="Open Sans Light" w:hAnsi="Open Sans Light"/>
                <w:sz w:val="22"/>
              </w:rPr>
              <w:t xml:space="preserve"> This is somewhat academic, but I suggest the damage sustained by the cruise lines likewise make them </w:t>
            </w:r>
            <w:r w:rsidR="00116071">
              <w:rPr>
                <w:rFonts w:ascii="Open Sans Light" w:hAnsi="Open Sans Light"/>
                <w:sz w:val="22"/>
              </w:rPr>
              <w:t>weak options and late recoveries.</w:t>
            </w:r>
          </w:p>
          <w:p w14:paraId="066B4110" w14:textId="47523537" w:rsidR="00116071" w:rsidRPr="00116071" w:rsidRDefault="00116071" w:rsidP="00116071">
            <w:pPr>
              <w:spacing w:before="120" w:after="120"/>
              <w:jc w:val="both"/>
              <w:rPr>
                <w:rFonts w:ascii="Open Sans Light" w:hAnsi="Open Sans Light"/>
                <w:sz w:val="22"/>
              </w:rPr>
            </w:pPr>
            <w:r>
              <w:rPr>
                <w:rFonts w:ascii="Open Sans Light" w:hAnsi="Open Sans Light"/>
                <w:sz w:val="22"/>
              </w:rPr>
              <w:lastRenderedPageBreak/>
              <w:t>As such the investing priorities, oil majors, rail &amp; bus companies, pubs and restaurants seem the right mix with ample further upside if the existing trajectory holds.</w:t>
            </w:r>
            <w:r w:rsidR="00FF2BD4">
              <w:rPr>
                <w:rFonts w:ascii="Open Sans Light" w:hAnsi="Open Sans Light"/>
                <w:sz w:val="22"/>
              </w:rPr>
              <w:t xml:space="preserve"> </w:t>
            </w:r>
            <w:r>
              <w:rPr>
                <w:rFonts w:ascii="Open Sans Light" w:hAnsi="Open Sans Light"/>
                <w:sz w:val="22"/>
              </w:rPr>
              <w:t>On everything else, the inherent fragility of these sectors make them far less appealing.</w:t>
            </w:r>
          </w:p>
          <w:p w14:paraId="66E6243E" w14:textId="63C2B1F2" w:rsidR="00116071" w:rsidRPr="00066A31" w:rsidRDefault="00066A31" w:rsidP="00636E68">
            <w:pPr>
              <w:spacing w:before="120" w:after="120"/>
              <w:jc w:val="both"/>
              <w:rPr>
                <w:rFonts w:ascii="Open Sans Light" w:hAnsi="Open Sans Light"/>
                <w:sz w:val="22"/>
              </w:rPr>
            </w:pPr>
            <w:r>
              <w:rPr>
                <w:rFonts w:ascii="Open Sans Light" w:hAnsi="Open Sans Light"/>
                <w:sz w:val="22"/>
              </w:rPr>
              <w:t>So far 2021 is looking better than 2020, there is a</w:t>
            </w:r>
            <w:r w:rsidR="00116071">
              <w:rPr>
                <w:rFonts w:ascii="Open Sans Light" w:hAnsi="Open Sans Light"/>
                <w:sz w:val="22"/>
              </w:rPr>
              <w:t>n exit route</w:t>
            </w:r>
            <w:r>
              <w:rPr>
                <w:rFonts w:ascii="Open Sans Light" w:hAnsi="Open Sans Light"/>
                <w:sz w:val="22"/>
              </w:rPr>
              <w:t xml:space="preserve"> out of C-19 but this must be traversed by many countries quickly</w:t>
            </w:r>
            <w:r w:rsidR="00116071">
              <w:rPr>
                <w:rFonts w:ascii="Open Sans Light" w:hAnsi="Open Sans Light"/>
                <w:sz w:val="22"/>
              </w:rPr>
              <w:t>, it is an uneven path that will take all of H1 2021.</w:t>
            </w:r>
          </w:p>
        </w:tc>
      </w:tr>
      <w:tr w:rsidR="001B10A5" w:rsidRPr="001B10A5" w14:paraId="1F93BB74" w14:textId="77777777" w:rsidTr="002F292C">
        <w:tblPrEx>
          <w:jc w:val="center"/>
          <w:tblInd w:w="0" w:type="dxa"/>
          <w:tblCellMar>
            <w:left w:w="108" w:type="dxa"/>
            <w:right w:w="108" w:type="dxa"/>
          </w:tblCellMar>
        </w:tblPrEx>
        <w:trPr>
          <w:jc w:val="center"/>
        </w:trPr>
        <w:tc>
          <w:tcPr>
            <w:tcW w:w="10740" w:type="dxa"/>
            <w:gridSpan w:val="4"/>
            <w:shd w:val="clear" w:color="auto" w:fill="005E2A"/>
          </w:tcPr>
          <w:p w14:paraId="0A7758BB" w14:textId="643EDC38" w:rsidR="001B10A5" w:rsidRPr="00A00010" w:rsidRDefault="0014734B" w:rsidP="005C28B1">
            <w:pPr>
              <w:spacing w:before="120" w:after="120"/>
              <w:jc w:val="center"/>
              <w:rPr>
                <w:rFonts w:ascii="Open Sans Light" w:hAnsi="Open Sans Light"/>
                <w:color w:val="404040" w:themeColor="text1" w:themeTint="BF"/>
              </w:rPr>
            </w:pPr>
            <w:r w:rsidRPr="0014734B">
              <w:rPr>
                <w:rFonts w:ascii="Open Sans Light" w:hAnsi="Open Sans Light"/>
                <w:color w:val="FFFFFF" w:themeColor="background1"/>
              </w:rPr>
              <w:lastRenderedPageBreak/>
              <w:t xml:space="preserve">Collins </w:t>
            </w:r>
            <w:r w:rsidR="005C28B1">
              <w:rPr>
                <w:rFonts w:ascii="Open Sans Light" w:hAnsi="Open Sans Light"/>
                <w:color w:val="FFFFFF" w:themeColor="background1"/>
              </w:rPr>
              <w:t xml:space="preserve">Sarri Statham Investments Ltd </w:t>
            </w:r>
          </w:p>
        </w:tc>
      </w:tr>
      <w:tr w:rsidR="001B10A5" w:rsidRPr="001B10A5" w14:paraId="061A2B55" w14:textId="77777777" w:rsidTr="002F292C">
        <w:tblPrEx>
          <w:jc w:val="center"/>
          <w:tblInd w:w="0" w:type="dxa"/>
          <w:tblCellMar>
            <w:left w:w="108" w:type="dxa"/>
            <w:right w:w="108" w:type="dxa"/>
          </w:tblCellMar>
        </w:tblPrEx>
        <w:trPr>
          <w:trHeight w:val="3294"/>
          <w:jc w:val="center"/>
        </w:trPr>
        <w:tc>
          <w:tcPr>
            <w:tcW w:w="10740" w:type="dxa"/>
            <w:gridSpan w:val="4"/>
          </w:tcPr>
          <w:p w14:paraId="0FD455D9" w14:textId="77777777" w:rsidR="00AC7ECF" w:rsidRPr="0014734B" w:rsidRDefault="00AC7ECF" w:rsidP="00AC7ECF">
            <w:pPr>
              <w:spacing w:before="120"/>
              <w:rPr>
                <w:rFonts w:ascii="Open Sans" w:hAnsi="Open Sans"/>
                <w:b/>
                <w:color w:val="005D2A"/>
                <w:sz w:val="19"/>
                <w:szCs w:val="19"/>
              </w:rPr>
            </w:pPr>
            <w:r w:rsidRPr="0014734B">
              <w:rPr>
                <w:rFonts w:ascii="Open Sans" w:hAnsi="Open Sans"/>
                <w:b/>
                <w:color w:val="005D2A"/>
                <w:sz w:val="19"/>
                <w:szCs w:val="19"/>
              </w:rPr>
              <w:t>Key to Material Interests:</w:t>
            </w:r>
          </w:p>
          <w:p w14:paraId="5FEE1569" w14:textId="77777777" w:rsidR="00AC7ECF" w:rsidRPr="0014734B" w:rsidRDefault="00AC7ECF" w:rsidP="00AC7ECF">
            <w:pPr>
              <w:spacing w:before="120"/>
              <w:rPr>
                <w:rFonts w:ascii="Open Sans" w:hAnsi="Open Sans"/>
                <w:color w:val="404040" w:themeColor="text1" w:themeTint="BF"/>
                <w:sz w:val="19"/>
                <w:szCs w:val="19"/>
              </w:rPr>
            </w:pPr>
            <w:r w:rsidRPr="0014734B">
              <w:rPr>
                <w:rFonts w:ascii="Open Sans" w:hAnsi="Open Sans"/>
                <w:color w:val="404040" w:themeColor="text1" w:themeTint="BF"/>
                <w:sz w:val="19"/>
                <w:szCs w:val="19"/>
              </w:rPr>
              <w:t>Please be aware tha</w:t>
            </w:r>
            <w:r>
              <w:rPr>
                <w:rFonts w:ascii="Open Sans" w:hAnsi="Open Sans"/>
                <w:color w:val="404040" w:themeColor="text1" w:themeTint="BF"/>
                <w:sz w:val="19"/>
                <w:szCs w:val="19"/>
              </w:rPr>
              <w:t xml:space="preserve">t the following disclosures of </w:t>
            </w:r>
            <w:r w:rsidRPr="0014734B">
              <w:rPr>
                <w:rFonts w:ascii="Open Sans" w:hAnsi="Open Sans"/>
                <w:color w:val="404040" w:themeColor="text1" w:themeTint="BF"/>
                <w:sz w:val="19"/>
                <w:szCs w:val="19"/>
              </w:rPr>
              <w:t>Material Interests are relevant to this research note:</w:t>
            </w:r>
          </w:p>
          <w:p w14:paraId="4BB84418" w14:textId="3C2BF86B" w:rsidR="00AC7ECF" w:rsidRDefault="00AC7ECF" w:rsidP="00AC7ECF">
            <w:pPr>
              <w:spacing w:before="120"/>
              <w:rPr>
                <w:rFonts w:ascii="Open Sans" w:hAnsi="Open Sans"/>
                <w:b/>
                <w:color w:val="404040" w:themeColor="text1" w:themeTint="BF"/>
                <w:sz w:val="19"/>
                <w:szCs w:val="19"/>
              </w:rPr>
            </w:pPr>
            <w:r>
              <w:rPr>
                <w:rFonts w:ascii="Open Sans" w:hAnsi="Open Sans"/>
                <w:b/>
                <w:color w:val="404040" w:themeColor="text1" w:themeTint="BF"/>
                <w:sz w:val="19"/>
                <w:szCs w:val="19"/>
              </w:rPr>
              <w:t>Astra Zeneca</w:t>
            </w:r>
            <w:r>
              <w:rPr>
                <w:rFonts w:ascii="Open Sans" w:hAnsi="Open Sans"/>
                <w:b/>
                <w:color w:val="404040" w:themeColor="text1" w:themeTint="BF"/>
                <w:sz w:val="19"/>
                <w:szCs w:val="19"/>
              </w:rPr>
              <w:tab/>
              <w:t xml:space="preserve">                                                       </w:t>
            </w:r>
            <w:r>
              <w:rPr>
                <w:rFonts w:ascii="Open Sans" w:hAnsi="Open Sans"/>
                <w:b/>
                <w:color w:val="404040" w:themeColor="text1" w:themeTint="BF"/>
                <w:sz w:val="19"/>
                <w:szCs w:val="19"/>
              </w:rPr>
              <w:tab/>
              <w:t>Relevant disclosures:   &lt;2</w:t>
            </w:r>
            <w:r w:rsidRPr="0014734B">
              <w:rPr>
                <w:rFonts w:ascii="Open Sans" w:hAnsi="Open Sans"/>
                <w:b/>
                <w:color w:val="404040" w:themeColor="text1" w:themeTint="BF"/>
                <w:sz w:val="19"/>
                <w:szCs w:val="19"/>
              </w:rPr>
              <w:t>&gt;</w:t>
            </w:r>
          </w:p>
          <w:p w14:paraId="12BBA9A0" w14:textId="42A5001D" w:rsidR="00AC7ECF" w:rsidRDefault="00AC7ECF" w:rsidP="00AC7ECF">
            <w:pPr>
              <w:spacing w:before="120"/>
              <w:rPr>
                <w:rFonts w:ascii="Open Sans" w:hAnsi="Open Sans"/>
                <w:b/>
                <w:color w:val="404040" w:themeColor="text1" w:themeTint="BF"/>
                <w:sz w:val="19"/>
                <w:szCs w:val="19"/>
              </w:rPr>
            </w:pPr>
            <w:r>
              <w:rPr>
                <w:rFonts w:ascii="Open Sans" w:hAnsi="Open Sans"/>
                <w:b/>
                <w:color w:val="404040" w:themeColor="text1" w:themeTint="BF"/>
                <w:sz w:val="19"/>
                <w:szCs w:val="19"/>
              </w:rPr>
              <w:t xml:space="preserve">Pfizer                                                                  </w:t>
            </w:r>
            <w:r>
              <w:rPr>
                <w:rFonts w:ascii="Open Sans" w:hAnsi="Open Sans"/>
                <w:b/>
                <w:color w:val="404040" w:themeColor="text1" w:themeTint="BF"/>
                <w:sz w:val="19"/>
                <w:szCs w:val="19"/>
              </w:rPr>
              <w:tab/>
              <w:t>Relevant disclosures:   &lt;2</w:t>
            </w:r>
            <w:r w:rsidRPr="0014734B">
              <w:rPr>
                <w:rFonts w:ascii="Open Sans" w:hAnsi="Open Sans"/>
                <w:b/>
                <w:color w:val="404040" w:themeColor="text1" w:themeTint="BF"/>
                <w:sz w:val="19"/>
                <w:szCs w:val="19"/>
              </w:rPr>
              <w:t>&gt;</w:t>
            </w:r>
          </w:p>
          <w:p w14:paraId="44670F87" w14:textId="1808703E" w:rsidR="00AC7ECF" w:rsidRDefault="00AC7ECF" w:rsidP="00AC7ECF">
            <w:pPr>
              <w:spacing w:before="120"/>
              <w:rPr>
                <w:rFonts w:ascii="Open Sans" w:hAnsi="Open Sans"/>
                <w:b/>
                <w:color w:val="404040" w:themeColor="text1" w:themeTint="BF"/>
                <w:sz w:val="19"/>
                <w:szCs w:val="19"/>
              </w:rPr>
            </w:pPr>
            <w:r>
              <w:rPr>
                <w:rFonts w:ascii="Open Sans" w:hAnsi="Open Sans"/>
                <w:b/>
                <w:color w:val="404040" w:themeColor="text1" w:themeTint="BF"/>
                <w:sz w:val="19"/>
                <w:szCs w:val="19"/>
              </w:rPr>
              <w:t xml:space="preserve">BioNTech                                      </w:t>
            </w:r>
            <w:r>
              <w:rPr>
                <w:rFonts w:ascii="Open Sans" w:hAnsi="Open Sans"/>
                <w:b/>
                <w:color w:val="404040" w:themeColor="text1" w:themeTint="BF"/>
                <w:sz w:val="19"/>
                <w:szCs w:val="19"/>
              </w:rPr>
              <w:tab/>
              <w:t xml:space="preserve">                  </w:t>
            </w:r>
            <w:r>
              <w:rPr>
                <w:rFonts w:ascii="Open Sans" w:hAnsi="Open Sans"/>
                <w:b/>
                <w:color w:val="404040" w:themeColor="text1" w:themeTint="BF"/>
                <w:sz w:val="19"/>
                <w:szCs w:val="19"/>
              </w:rPr>
              <w:tab/>
              <w:t>Relevant disclosures:   &lt;NA</w:t>
            </w:r>
            <w:r w:rsidRPr="0014734B">
              <w:rPr>
                <w:rFonts w:ascii="Open Sans" w:hAnsi="Open Sans"/>
                <w:b/>
                <w:color w:val="404040" w:themeColor="text1" w:themeTint="BF"/>
                <w:sz w:val="19"/>
                <w:szCs w:val="19"/>
              </w:rPr>
              <w:t>&gt;</w:t>
            </w:r>
          </w:p>
          <w:p w14:paraId="40CB94EB" w14:textId="01A965D8" w:rsidR="00AC7ECF" w:rsidRDefault="00AC7ECF" w:rsidP="00AC7ECF">
            <w:pPr>
              <w:spacing w:before="120"/>
              <w:rPr>
                <w:rFonts w:ascii="Open Sans" w:hAnsi="Open Sans"/>
                <w:b/>
                <w:color w:val="404040" w:themeColor="text1" w:themeTint="BF"/>
                <w:sz w:val="19"/>
                <w:szCs w:val="19"/>
              </w:rPr>
            </w:pPr>
            <w:r>
              <w:rPr>
                <w:rFonts w:ascii="Open Sans" w:hAnsi="Open Sans"/>
                <w:b/>
                <w:color w:val="404040" w:themeColor="text1" w:themeTint="BF"/>
                <w:sz w:val="19"/>
                <w:szCs w:val="19"/>
              </w:rPr>
              <w:t xml:space="preserve">Moderna                                        </w:t>
            </w:r>
            <w:r>
              <w:rPr>
                <w:rFonts w:ascii="Open Sans" w:hAnsi="Open Sans"/>
                <w:b/>
                <w:color w:val="404040" w:themeColor="text1" w:themeTint="BF"/>
                <w:sz w:val="19"/>
                <w:szCs w:val="19"/>
              </w:rPr>
              <w:tab/>
              <w:t xml:space="preserve">                  </w:t>
            </w:r>
            <w:r>
              <w:rPr>
                <w:rFonts w:ascii="Open Sans" w:hAnsi="Open Sans"/>
                <w:b/>
                <w:color w:val="404040" w:themeColor="text1" w:themeTint="BF"/>
                <w:sz w:val="19"/>
                <w:szCs w:val="19"/>
              </w:rPr>
              <w:tab/>
              <w:t>Relevant disclosures:   &lt;NA</w:t>
            </w:r>
            <w:r w:rsidRPr="0014734B">
              <w:rPr>
                <w:rFonts w:ascii="Open Sans" w:hAnsi="Open Sans"/>
                <w:b/>
                <w:color w:val="404040" w:themeColor="text1" w:themeTint="BF"/>
                <w:sz w:val="19"/>
                <w:szCs w:val="19"/>
              </w:rPr>
              <w:t>&gt;</w:t>
            </w:r>
          </w:p>
          <w:p w14:paraId="5D1CE445" w14:textId="7E51F21E" w:rsidR="00AC7ECF" w:rsidRDefault="00AC7ECF" w:rsidP="00AC7ECF">
            <w:pPr>
              <w:spacing w:before="120"/>
              <w:rPr>
                <w:rFonts w:ascii="Open Sans" w:hAnsi="Open Sans"/>
                <w:b/>
                <w:color w:val="404040" w:themeColor="text1" w:themeTint="BF"/>
                <w:sz w:val="19"/>
                <w:szCs w:val="19"/>
              </w:rPr>
            </w:pPr>
            <w:r>
              <w:rPr>
                <w:rFonts w:ascii="Open Sans" w:hAnsi="Open Sans"/>
                <w:b/>
                <w:color w:val="404040" w:themeColor="text1" w:themeTint="BF"/>
                <w:sz w:val="19"/>
                <w:szCs w:val="19"/>
              </w:rPr>
              <w:t xml:space="preserve">Glaxosmithkline                            </w:t>
            </w:r>
            <w:r>
              <w:rPr>
                <w:rFonts w:ascii="Open Sans" w:hAnsi="Open Sans"/>
                <w:b/>
                <w:color w:val="404040" w:themeColor="text1" w:themeTint="BF"/>
                <w:sz w:val="19"/>
                <w:szCs w:val="19"/>
              </w:rPr>
              <w:tab/>
              <w:t xml:space="preserve">                  </w:t>
            </w:r>
            <w:r>
              <w:rPr>
                <w:rFonts w:ascii="Open Sans" w:hAnsi="Open Sans"/>
                <w:b/>
                <w:color w:val="404040" w:themeColor="text1" w:themeTint="BF"/>
                <w:sz w:val="19"/>
                <w:szCs w:val="19"/>
              </w:rPr>
              <w:tab/>
              <w:t>Relevant disclosures:   &lt;1,2</w:t>
            </w:r>
            <w:r w:rsidRPr="0014734B">
              <w:rPr>
                <w:rFonts w:ascii="Open Sans" w:hAnsi="Open Sans"/>
                <w:b/>
                <w:color w:val="404040" w:themeColor="text1" w:themeTint="BF"/>
                <w:sz w:val="19"/>
                <w:szCs w:val="19"/>
              </w:rPr>
              <w:t>&gt;</w:t>
            </w:r>
          </w:p>
          <w:p w14:paraId="386E104C" w14:textId="0CB9AB50" w:rsidR="00AC7ECF" w:rsidRDefault="00AC7ECF" w:rsidP="00AC7ECF">
            <w:pPr>
              <w:spacing w:before="120"/>
              <w:rPr>
                <w:rFonts w:ascii="Open Sans" w:hAnsi="Open Sans"/>
                <w:b/>
                <w:color w:val="404040" w:themeColor="text1" w:themeTint="BF"/>
                <w:sz w:val="19"/>
                <w:szCs w:val="19"/>
              </w:rPr>
            </w:pPr>
            <w:r>
              <w:rPr>
                <w:rFonts w:ascii="Open Sans" w:hAnsi="Open Sans"/>
                <w:b/>
                <w:color w:val="404040" w:themeColor="text1" w:themeTint="BF"/>
                <w:sz w:val="19"/>
                <w:szCs w:val="19"/>
              </w:rPr>
              <w:t xml:space="preserve">Sanofi                                                                         </w:t>
            </w:r>
            <w:r>
              <w:rPr>
                <w:rFonts w:ascii="Open Sans" w:hAnsi="Open Sans"/>
                <w:b/>
                <w:color w:val="404040" w:themeColor="text1" w:themeTint="BF"/>
                <w:sz w:val="19"/>
                <w:szCs w:val="19"/>
              </w:rPr>
              <w:tab/>
              <w:t>Relevant disclosures:   &lt;NA</w:t>
            </w:r>
            <w:r w:rsidRPr="0014734B">
              <w:rPr>
                <w:rFonts w:ascii="Open Sans" w:hAnsi="Open Sans"/>
                <w:b/>
                <w:color w:val="404040" w:themeColor="text1" w:themeTint="BF"/>
                <w:sz w:val="19"/>
                <w:szCs w:val="19"/>
              </w:rPr>
              <w:t>&gt;</w:t>
            </w:r>
          </w:p>
          <w:p w14:paraId="77193C95" w14:textId="48B26742" w:rsidR="00AC7ECF" w:rsidRPr="0014734B" w:rsidRDefault="00AC7ECF" w:rsidP="00AC7ECF">
            <w:pPr>
              <w:spacing w:before="120"/>
              <w:rPr>
                <w:rFonts w:ascii="Open Sans" w:hAnsi="Open Sans"/>
                <w:b/>
                <w:color w:val="404040" w:themeColor="text1" w:themeTint="BF"/>
                <w:sz w:val="19"/>
                <w:szCs w:val="19"/>
              </w:rPr>
            </w:pPr>
            <w:r>
              <w:rPr>
                <w:rFonts w:ascii="Open Sans" w:hAnsi="Open Sans"/>
                <w:b/>
                <w:color w:val="404040" w:themeColor="text1" w:themeTint="BF"/>
                <w:sz w:val="19"/>
                <w:szCs w:val="19"/>
              </w:rPr>
              <w:t xml:space="preserve">Johnson &amp; Johnson                         </w:t>
            </w:r>
            <w:r>
              <w:rPr>
                <w:rFonts w:ascii="Open Sans" w:hAnsi="Open Sans"/>
                <w:b/>
                <w:color w:val="404040" w:themeColor="text1" w:themeTint="BF"/>
                <w:sz w:val="19"/>
                <w:szCs w:val="19"/>
              </w:rPr>
              <w:tab/>
              <w:t xml:space="preserve">                  </w:t>
            </w:r>
            <w:r>
              <w:rPr>
                <w:rFonts w:ascii="Open Sans" w:hAnsi="Open Sans"/>
                <w:b/>
                <w:color w:val="404040" w:themeColor="text1" w:themeTint="BF"/>
                <w:sz w:val="19"/>
                <w:szCs w:val="19"/>
              </w:rPr>
              <w:tab/>
              <w:t>Relevant disclosures:   &lt;NA</w:t>
            </w:r>
            <w:r w:rsidRPr="0014734B">
              <w:rPr>
                <w:rFonts w:ascii="Open Sans" w:hAnsi="Open Sans"/>
                <w:b/>
                <w:color w:val="404040" w:themeColor="text1" w:themeTint="BF"/>
                <w:sz w:val="19"/>
                <w:szCs w:val="19"/>
              </w:rPr>
              <w:t>&gt;</w:t>
            </w:r>
          </w:p>
          <w:p w14:paraId="1E36279A" w14:textId="77777777" w:rsidR="00AC7ECF" w:rsidRPr="0014734B" w:rsidRDefault="00AC7ECF" w:rsidP="00AC7ECF">
            <w:pPr>
              <w:spacing w:before="120"/>
              <w:rPr>
                <w:rFonts w:ascii="Open Sans" w:hAnsi="Open Sans"/>
                <w:color w:val="404040" w:themeColor="text1" w:themeTint="BF"/>
                <w:sz w:val="19"/>
                <w:szCs w:val="19"/>
              </w:rPr>
            </w:pPr>
            <w:r w:rsidRPr="0014734B">
              <w:rPr>
                <w:rFonts w:ascii="Open Sans" w:hAnsi="Open Sans"/>
                <w:color w:val="404040" w:themeColor="text1" w:themeTint="BF"/>
                <w:sz w:val="19"/>
                <w:szCs w:val="19"/>
              </w:rPr>
              <w:t>1. The analyst has a personal holding in the securities issued by the company or of derivatives linked to the price of the company’s securities.</w:t>
            </w:r>
          </w:p>
          <w:p w14:paraId="7A043E3B" w14:textId="2BBACAD0" w:rsidR="00AC7ECF" w:rsidRPr="00FF2BD4" w:rsidRDefault="00AC7ECF" w:rsidP="00FF2BD4">
            <w:pPr>
              <w:spacing w:before="120"/>
              <w:rPr>
                <w:rFonts w:ascii="Open Sans" w:hAnsi="Open Sans"/>
                <w:color w:val="404040" w:themeColor="text1" w:themeTint="BF"/>
                <w:sz w:val="19"/>
                <w:szCs w:val="19"/>
              </w:rPr>
            </w:pPr>
            <w:r w:rsidRPr="0014734B">
              <w:rPr>
                <w:rFonts w:ascii="Open Sans" w:hAnsi="Open Sans"/>
                <w:color w:val="404040" w:themeColor="text1" w:themeTint="BF"/>
                <w:sz w:val="19"/>
                <w:szCs w:val="19"/>
              </w:rPr>
              <w:t>2. Collins Sarri Statham Investments Ltd has clients who hold either shares or CFD positions in this security.</w:t>
            </w:r>
          </w:p>
          <w:tbl>
            <w:tblPr>
              <w:tblStyle w:val="TableGrid"/>
              <w:tblW w:w="107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56"/>
            </w:tblGrid>
            <w:tr w:rsidR="005C28B1" w14:paraId="41F9FA11" w14:textId="77777777" w:rsidTr="006E45AC">
              <w:trPr>
                <w:trHeight w:val="1487"/>
                <w:jc w:val="center"/>
              </w:trPr>
              <w:tc>
                <w:tcPr>
                  <w:tcW w:w="10756" w:type="dxa"/>
                </w:tcPr>
                <w:p w14:paraId="3F531409" w14:textId="77777777" w:rsidR="00F023DD" w:rsidRPr="0014734B" w:rsidRDefault="00F023DD" w:rsidP="00F023DD">
                  <w:pPr>
                    <w:spacing w:before="120"/>
                    <w:rPr>
                      <w:rFonts w:ascii="Open Sans" w:hAnsi="Open Sans"/>
                      <w:b/>
                      <w:bCs/>
                      <w:color w:val="005D2A"/>
                      <w:sz w:val="19"/>
                      <w:szCs w:val="19"/>
                    </w:rPr>
                  </w:pPr>
                  <w:r w:rsidRPr="0014734B">
                    <w:rPr>
                      <w:rFonts w:ascii="Open Sans" w:hAnsi="Open Sans"/>
                      <w:b/>
                      <w:bCs/>
                      <w:color w:val="005D2A"/>
                      <w:sz w:val="19"/>
                      <w:szCs w:val="19"/>
                    </w:rPr>
                    <w:t xml:space="preserve">ANALYST CERTIFICATION: </w:t>
                  </w:r>
                </w:p>
                <w:p w14:paraId="71346EA4" w14:textId="77777777" w:rsidR="00F023DD" w:rsidRPr="004C26FA" w:rsidRDefault="00F023DD" w:rsidP="00F023DD">
                  <w:pPr>
                    <w:spacing w:before="120"/>
                    <w:rPr>
                      <w:rFonts w:ascii="Open Sans" w:hAnsi="Open Sans"/>
                      <w:color w:val="404040" w:themeColor="text1" w:themeTint="BF"/>
                      <w:sz w:val="19"/>
                      <w:szCs w:val="19"/>
                    </w:rPr>
                  </w:pPr>
                  <w:r w:rsidRPr="0014734B">
                    <w:rPr>
                      <w:rFonts w:ascii="Open Sans" w:hAnsi="Open Sans"/>
                      <w:color w:val="404040" w:themeColor="text1" w:themeTint="BF"/>
                      <w:sz w:val="19"/>
                      <w:szCs w:val="19"/>
                    </w:rPr>
                    <w:t>The report’s author certifies that this research report accurately states his personal views about the subject securities, which is reflected in the ratings as well as</w:t>
                  </w:r>
                  <w:r>
                    <w:rPr>
                      <w:rFonts w:ascii="Open Sans" w:hAnsi="Open Sans"/>
                      <w:color w:val="404040" w:themeColor="text1" w:themeTint="BF"/>
                      <w:sz w:val="19"/>
                      <w:szCs w:val="19"/>
                    </w:rPr>
                    <w:t xml:space="preserve"> the substance of the reports. </w:t>
                  </w:r>
                </w:p>
                <w:p w14:paraId="03856D76" w14:textId="77777777" w:rsidR="00F023DD" w:rsidRPr="0014734B" w:rsidRDefault="00F023DD" w:rsidP="00F023DD">
                  <w:pPr>
                    <w:spacing w:before="120"/>
                    <w:jc w:val="both"/>
                    <w:rPr>
                      <w:rFonts w:ascii="Open Sans" w:hAnsi="Open Sans"/>
                      <w:b/>
                      <w:bCs/>
                      <w:color w:val="005D2A"/>
                      <w:sz w:val="19"/>
                      <w:szCs w:val="19"/>
                    </w:rPr>
                  </w:pPr>
                  <w:r w:rsidRPr="0014734B">
                    <w:rPr>
                      <w:rFonts w:ascii="Open Sans" w:hAnsi="Open Sans"/>
                      <w:b/>
                      <w:bCs/>
                      <w:color w:val="005D2A"/>
                      <w:sz w:val="19"/>
                      <w:szCs w:val="19"/>
                    </w:rPr>
                    <w:t>RECOMMENDATIONS: </w:t>
                  </w:r>
                </w:p>
                <w:p w14:paraId="30C5004A" w14:textId="77777777" w:rsidR="00F023DD" w:rsidRPr="0014734B" w:rsidRDefault="00F023DD" w:rsidP="00F023DD">
                  <w:pPr>
                    <w:spacing w:before="120"/>
                    <w:jc w:val="both"/>
                    <w:rPr>
                      <w:rFonts w:ascii="Open Sans" w:hAnsi="Open Sans"/>
                      <w:color w:val="404040" w:themeColor="text1" w:themeTint="BF"/>
                      <w:sz w:val="19"/>
                      <w:szCs w:val="19"/>
                    </w:rPr>
                  </w:pPr>
                  <w:r w:rsidRPr="0014734B">
                    <w:rPr>
                      <w:rFonts w:ascii="Open Sans" w:hAnsi="Open Sans"/>
                      <w:color w:val="404040" w:themeColor="text1" w:themeTint="BF"/>
                      <w:sz w:val="19"/>
                      <w:szCs w:val="19"/>
                    </w:rPr>
                    <w:t>Collins Sarri Statham Investments Ltd (CSS) does not in any of its publications take into account any particular recipient's investment objectives, financial situation, and specific needs and demands. Therefore, all CSS publications are, unless otherwise specifically stated, intended for informational and/or marketing purposes only.CSS shall not be responsible for any loss arising from any investment based on a perceived recommendation.</w:t>
                  </w:r>
                </w:p>
                <w:p w14:paraId="10A8E81C" w14:textId="77777777" w:rsidR="00F023DD" w:rsidRPr="0014734B" w:rsidRDefault="00F023DD" w:rsidP="00F023DD">
                  <w:pPr>
                    <w:spacing w:before="120"/>
                    <w:jc w:val="both"/>
                    <w:rPr>
                      <w:rFonts w:ascii="Open Sans" w:hAnsi="Open Sans"/>
                      <w:color w:val="404040" w:themeColor="text1" w:themeTint="BF"/>
                      <w:sz w:val="19"/>
                      <w:szCs w:val="19"/>
                    </w:rPr>
                  </w:pPr>
                  <w:r w:rsidRPr="0014734B">
                    <w:rPr>
                      <w:rFonts w:ascii="Open Sans" w:hAnsi="Open Sans"/>
                      <w:color w:val="404040" w:themeColor="text1" w:themeTint="BF"/>
                      <w:sz w:val="19"/>
                      <w:szCs w:val="19"/>
                    </w:rPr>
                    <w:t>No publication (including recommendations) shall be construed as a representation or warranty that the recipient will profit, nor avoid sustaining losses, from trading in accordance with a trading strat</w:t>
                  </w:r>
                  <w:r>
                    <w:rPr>
                      <w:rFonts w:ascii="Open Sans" w:hAnsi="Open Sans"/>
                      <w:color w:val="404040" w:themeColor="text1" w:themeTint="BF"/>
                      <w:sz w:val="19"/>
                      <w:szCs w:val="19"/>
                    </w:rPr>
                    <w:t>egy set forth in a publication.</w:t>
                  </w:r>
                </w:p>
                <w:p w14:paraId="3ADD29C1" w14:textId="77777777" w:rsidR="00F023DD" w:rsidRDefault="00F023DD" w:rsidP="00F023DD">
                  <w:pPr>
                    <w:spacing w:before="120"/>
                    <w:jc w:val="both"/>
                    <w:rPr>
                      <w:rFonts w:ascii="Open Sans" w:hAnsi="Open Sans"/>
                      <w:color w:val="404040" w:themeColor="text1" w:themeTint="BF"/>
                      <w:sz w:val="19"/>
                      <w:szCs w:val="19"/>
                    </w:rPr>
                  </w:pPr>
                  <w:r w:rsidRPr="0014734B">
                    <w:rPr>
                      <w:rFonts w:ascii="Open Sans" w:hAnsi="Open Sans"/>
                      <w:color w:val="404040" w:themeColor="text1" w:themeTint="BF"/>
                      <w:sz w:val="19"/>
                      <w:szCs w:val="19"/>
                    </w:rPr>
                    <w:t>This research is non-independent and is classified as a Marketing Communication under FCA rules detailed in their Conduct of Business Rulebook (COBS). As such it has not been prepared in accordance with legal requirements designed to promote independence of investment research and it is not subject to the prohibition of dealing ahead of the dissemination of investment research outlined in COBS 12.2.</w:t>
                  </w:r>
                  <w:r>
                    <w:rPr>
                      <w:rFonts w:ascii="Open Sans" w:hAnsi="Open Sans"/>
                      <w:color w:val="404040" w:themeColor="text1" w:themeTint="BF"/>
                      <w:sz w:val="19"/>
                      <w:szCs w:val="19"/>
                    </w:rPr>
                    <w:t>18</w:t>
                  </w:r>
                  <w:r w:rsidRPr="0014734B">
                    <w:rPr>
                      <w:rFonts w:ascii="Open Sans" w:hAnsi="Open Sans"/>
                      <w:color w:val="404040" w:themeColor="text1" w:themeTint="BF"/>
                      <w:sz w:val="19"/>
                      <w:szCs w:val="19"/>
                    </w:rPr>
                    <w:t>.</w:t>
                  </w:r>
                </w:p>
                <w:p w14:paraId="519791B3" w14:textId="77777777" w:rsidR="00F023DD" w:rsidRPr="0014734B" w:rsidRDefault="00F023DD" w:rsidP="00F023DD">
                  <w:pPr>
                    <w:spacing w:before="120"/>
                    <w:jc w:val="both"/>
                    <w:rPr>
                      <w:rFonts w:ascii="Open Sans" w:hAnsi="Open Sans"/>
                      <w:b/>
                      <w:color w:val="005D2A"/>
                      <w:sz w:val="19"/>
                      <w:szCs w:val="19"/>
                    </w:rPr>
                  </w:pPr>
                  <w:r w:rsidRPr="0014734B">
                    <w:rPr>
                      <w:rFonts w:ascii="Open Sans" w:hAnsi="Open Sans"/>
                      <w:b/>
                      <w:color w:val="005D2A"/>
                      <w:sz w:val="19"/>
                      <w:szCs w:val="19"/>
                    </w:rPr>
                    <w:t>RISK WARNING:</w:t>
                  </w:r>
                </w:p>
                <w:p w14:paraId="3EBD6FE5" w14:textId="77777777" w:rsidR="00F023DD" w:rsidRPr="00292696" w:rsidRDefault="00F023DD" w:rsidP="00F023DD">
                  <w:pPr>
                    <w:spacing w:before="120"/>
                    <w:jc w:val="both"/>
                    <w:rPr>
                      <w:rFonts w:ascii="Open Sans" w:hAnsi="Open Sans"/>
                      <w:color w:val="343434"/>
                      <w:sz w:val="19"/>
                      <w:szCs w:val="19"/>
                    </w:rPr>
                  </w:pPr>
                  <w:r w:rsidRPr="0014734B">
                    <w:rPr>
                      <w:rFonts w:ascii="Open Sans" w:hAnsi="Open Sans"/>
                      <w:color w:val="404040" w:themeColor="text1" w:themeTint="BF"/>
                      <w:sz w:val="19"/>
                      <w:szCs w:val="19"/>
                    </w:rPr>
                    <w:t>Trading in the products and services offered by Collins Sarri Statham Investments Ltd (CSS) may, result in losses as well as profits as the value of investments may go down as well as up. You may not get back the full amount you have invested. Any reference to past performance should not be viewed as an indication of any future performance. Investments held in overseas markets are subject to the effects of changes in exchange rates which will impact on the value of the underlying investment</w:t>
                  </w:r>
                  <w:r>
                    <w:rPr>
                      <w:rFonts w:ascii="Open Sans" w:hAnsi="Open Sans"/>
                      <w:color w:val="404040" w:themeColor="text1" w:themeTint="BF"/>
                      <w:sz w:val="19"/>
                      <w:szCs w:val="19"/>
                    </w:rPr>
                    <w:t xml:space="preserve">. </w:t>
                  </w:r>
                  <w:r w:rsidRPr="00292696">
                    <w:rPr>
                      <w:rFonts w:ascii="Open Sans" w:hAnsi="Open Sans"/>
                      <w:color w:val="343434"/>
                      <w:sz w:val="19"/>
                      <w:szCs w:val="19"/>
                    </w:rPr>
                    <w:t>Leveraged products such as Contracts for Difference (CFDs), derivatives, commodities &amp; Foreign Exchange (FX), carry a higher risk to your capital and they can lose their value rapidly</w:t>
                  </w:r>
                  <w:r>
                    <w:rPr>
                      <w:rFonts w:ascii="Open Sans" w:hAnsi="Open Sans"/>
                      <w:color w:val="343434"/>
                      <w:sz w:val="19"/>
                      <w:szCs w:val="19"/>
                    </w:rPr>
                    <w:t>.</w:t>
                  </w:r>
                </w:p>
                <w:p w14:paraId="047A854D" w14:textId="77777777" w:rsidR="00F023DD" w:rsidRPr="0014734B" w:rsidRDefault="00F023DD" w:rsidP="00F023DD">
                  <w:pPr>
                    <w:spacing w:before="120"/>
                    <w:jc w:val="both"/>
                    <w:rPr>
                      <w:rFonts w:ascii="Open Sans" w:hAnsi="Open Sans"/>
                      <w:b/>
                      <w:color w:val="005D2A"/>
                      <w:sz w:val="19"/>
                      <w:szCs w:val="19"/>
                    </w:rPr>
                  </w:pPr>
                  <w:r w:rsidRPr="0014734B">
                    <w:rPr>
                      <w:rFonts w:ascii="Open Sans" w:hAnsi="Open Sans"/>
                      <w:b/>
                      <w:color w:val="005D2A"/>
                      <w:sz w:val="19"/>
                      <w:szCs w:val="19"/>
                    </w:rPr>
                    <w:t xml:space="preserve">SPECULATIVE TRADING IS NOT SUITABLE FOR ALL INVESTORS. </w:t>
                  </w:r>
                </w:p>
                <w:p w14:paraId="427C9F59" w14:textId="37D06A0E" w:rsidR="00F023DD" w:rsidRPr="006E45AC" w:rsidRDefault="00F023DD" w:rsidP="006E45AC">
                  <w:r w:rsidRPr="0014734B">
                    <w:rPr>
                      <w:rFonts w:ascii="Open Sans" w:hAnsi="Open Sans"/>
                      <w:color w:val="404040" w:themeColor="text1" w:themeTint="BF"/>
                      <w:sz w:val="19"/>
                      <w:szCs w:val="19"/>
                    </w:rPr>
                    <w:t>The information contained herein is based on materials and sources that we believe to be reliable however we make no representation or warranty, either express or implied, in relation to the accuracy, completeness or reliability of the information contained herein. Please note that the figures shown may, in some instances, be rounded to the nearest penny. Prices can move sharply from those quoted in this document. Current prices can be verified by calling one of our brokers. CSS is under no obligation to update the information contained herein. Neither CSS, nor its affiliates, nor its employees shall have any liability whatsoever for any indirect or consequential loss or damage arising from the use of this document.</w:t>
                  </w:r>
                  <w:r w:rsidR="00FF2BD4">
                    <w:rPr>
                      <w:rFonts w:ascii="Open Sans" w:hAnsi="Open Sans"/>
                      <w:color w:val="404040" w:themeColor="text1" w:themeTint="BF"/>
                      <w:sz w:val="19"/>
                      <w:szCs w:val="19"/>
                    </w:rPr>
                    <w:t xml:space="preserve"> </w:t>
                  </w:r>
                </w:p>
              </w:tc>
            </w:tr>
            <w:tr w:rsidR="005C28B1" w14:paraId="16BE045D" w14:textId="77777777" w:rsidTr="006E45AC">
              <w:trPr>
                <w:trHeight w:val="1487"/>
                <w:jc w:val="center"/>
              </w:trPr>
              <w:tc>
                <w:tcPr>
                  <w:tcW w:w="10756" w:type="dxa"/>
                </w:tcPr>
                <w:p w14:paraId="2DFB24C2" w14:textId="77777777" w:rsidR="005C28B1" w:rsidRDefault="005C28B1">
                  <w:pPr>
                    <w:spacing w:before="120"/>
                    <w:jc w:val="both"/>
                    <w:rPr>
                      <w:rFonts w:ascii="Open Sans" w:hAnsi="Open Sans"/>
                      <w:b/>
                      <w:color w:val="005D2A"/>
                      <w:sz w:val="19"/>
                      <w:szCs w:val="19"/>
                    </w:rPr>
                  </w:pPr>
                </w:p>
              </w:tc>
            </w:tr>
          </w:tbl>
          <w:p w14:paraId="3626B5D3" w14:textId="2665E3F9" w:rsidR="0014734B" w:rsidRPr="0014734B" w:rsidRDefault="0014734B" w:rsidP="00882411">
            <w:pPr>
              <w:spacing w:before="120"/>
              <w:jc w:val="both"/>
              <w:rPr>
                <w:rFonts w:ascii="Open Sans" w:hAnsi="Open Sans"/>
                <w:color w:val="404040" w:themeColor="text1" w:themeTint="BF"/>
                <w:sz w:val="19"/>
                <w:szCs w:val="19"/>
              </w:rPr>
            </w:pPr>
          </w:p>
        </w:tc>
      </w:tr>
      <w:tr w:rsidR="00AC7ECF" w:rsidRPr="001B10A5" w14:paraId="209D2433" w14:textId="77777777" w:rsidTr="002F292C">
        <w:tblPrEx>
          <w:jc w:val="center"/>
          <w:tblInd w:w="0" w:type="dxa"/>
          <w:tblCellMar>
            <w:left w:w="108" w:type="dxa"/>
            <w:right w:w="108" w:type="dxa"/>
          </w:tblCellMar>
        </w:tblPrEx>
        <w:trPr>
          <w:trHeight w:val="3294"/>
          <w:jc w:val="center"/>
        </w:trPr>
        <w:tc>
          <w:tcPr>
            <w:tcW w:w="10740" w:type="dxa"/>
            <w:gridSpan w:val="4"/>
          </w:tcPr>
          <w:p w14:paraId="60F7E1C5" w14:textId="77777777" w:rsidR="00AC7ECF" w:rsidRPr="0014734B" w:rsidRDefault="00AC7ECF" w:rsidP="00AC7ECF">
            <w:pPr>
              <w:spacing w:before="120"/>
              <w:rPr>
                <w:rFonts w:ascii="Open Sans" w:hAnsi="Open Sans"/>
                <w:b/>
                <w:color w:val="005D2A"/>
                <w:sz w:val="19"/>
                <w:szCs w:val="19"/>
              </w:rPr>
            </w:pPr>
          </w:p>
        </w:tc>
      </w:tr>
    </w:tbl>
    <w:p w14:paraId="34FD20E4" w14:textId="77777777" w:rsidR="001B10A5" w:rsidRDefault="001B10A5" w:rsidP="0014734B"/>
    <w:sectPr w:rsidR="001B10A5" w:rsidSect="008465E7">
      <w:footerReference w:type="default" r:id="rId13"/>
      <w:pgSz w:w="11900" w:h="16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F8462" w14:textId="77777777" w:rsidR="001B2CF2" w:rsidRDefault="001B2CF2" w:rsidP="00562901">
      <w:r>
        <w:separator/>
      </w:r>
    </w:p>
  </w:endnote>
  <w:endnote w:type="continuationSeparator" w:id="0">
    <w:p w14:paraId="324F301A" w14:textId="77777777" w:rsidR="001B2CF2" w:rsidRDefault="001B2CF2" w:rsidP="0056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Open Sans Light">
    <w:altName w:val="Corbel"/>
    <w:charset w:val="00"/>
    <w:family w:val="auto"/>
    <w:pitch w:val="variable"/>
    <w:sig w:usb0="00000001" w:usb1="4000205B" w:usb2="00000028" w:usb3="00000000" w:csb0="0000019F" w:csb1="00000000"/>
  </w:font>
  <w:font w:name="Open Sans Semibold">
    <w:altName w:val="Segoe UI Semibold"/>
    <w:charset w:val="00"/>
    <w:family w:val="auto"/>
    <w:pitch w:val="variable"/>
    <w:sig w:usb0="00000001" w:usb1="4000205B" w:usb2="00000028"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346E9" w14:textId="77777777" w:rsidR="009C3A25" w:rsidRPr="00123BB8" w:rsidRDefault="009C3A25" w:rsidP="009C3A25">
    <w:pPr>
      <w:pStyle w:val="Footer"/>
      <w:spacing w:line="276" w:lineRule="auto"/>
      <w:jc w:val="center"/>
      <w:rPr>
        <w:rFonts w:ascii="Open Sans Semibold" w:hAnsi="Open Sans Semibold"/>
        <w:b/>
        <w:bCs/>
        <w:color w:val="005E2A"/>
        <w:sz w:val="18"/>
      </w:rPr>
    </w:pPr>
    <w:r w:rsidRPr="00123BB8">
      <w:rPr>
        <w:rFonts w:ascii="Open Sans Semibold" w:hAnsi="Open Sans Semibold"/>
        <w:b/>
        <w:bCs/>
        <w:color w:val="005E2A"/>
        <w:sz w:val="18"/>
      </w:rPr>
      <w:t>Collins</w:t>
    </w:r>
    <w:r>
      <w:rPr>
        <w:rFonts w:ascii="Open Sans Semibold" w:hAnsi="Open Sans Semibold"/>
        <w:b/>
        <w:bCs/>
        <w:color w:val="005E2A"/>
        <w:sz w:val="18"/>
      </w:rPr>
      <w:t xml:space="preserve"> Sarri Statham Investments Ltd.</w:t>
    </w:r>
    <w:r w:rsidRPr="00123BB8">
      <w:rPr>
        <w:rFonts w:ascii="Open Sans Semibold" w:hAnsi="Open Sans Semibold"/>
        <w:b/>
        <w:bCs/>
        <w:color w:val="005E2A"/>
        <w:sz w:val="18"/>
      </w:rPr>
      <w:t xml:space="preserve"> </w:t>
    </w:r>
    <w:r>
      <w:rPr>
        <w:rFonts w:ascii="Open Sans Semibold" w:hAnsi="Open Sans Semibold"/>
        <w:b/>
        <w:bCs/>
        <w:color w:val="005E2A"/>
        <w:sz w:val="18"/>
      </w:rPr>
      <w:t>138 Fortis Green Road, Muswell Hill, London N10 3DU</w:t>
    </w:r>
  </w:p>
  <w:p w14:paraId="4CA400E1" w14:textId="77777777" w:rsidR="009C3A25" w:rsidRPr="00123BB8" w:rsidRDefault="009C3A25" w:rsidP="009C3A25">
    <w:pPr>
      <w:pStyle w:val="Footer"/>
      <w:spacing w:line="276" w:lineRule="auto"/>
      <w:jc w:val="center"/>
      <w:rPr>
        <w:rFonts w:ascii="Open Sans Light" w:hAnsi="Open Sans Light"/>
        <w:sz w:val="18"/>
      </w:rPr>
    </w:pPr>
    <w:r w:rsidRPr="00123BB8">
      <w:rPr>
        <w:rFonts w:ascii="Open Sans Semibold" w:hAnsi="Open Sans Semibold"/>
        <w:b/>
        <w:bCs/>
        <w:sz w:val="18"/>
      </w:rPr>
      <w:t>T</w:t>
    </w:r>
    <w:r>
      <w:rPr>
        <w:rFonts w:ascii="Open Sans Light" w:hAnsi="Open Sans Light"/>
        <w:sz w:val="18"/>
      </w:rPr>
      <w:t xml:space="preserve"> +44 (0)20 8 057 6380 </w:t>
    </w:r>
    <w:r w:rsidRPr="00123BB8">
      <w:rPr>
        <w:rFonts w:ascii="Open Sans Light" w:hAnsi="Open Sans Light"/>
        <w:sz w:val="18"/>
      </w:rPr>
      <w:t xml:space="preserve">  </w:t>
    </w:r>
    <w:r w:rsidRPr="00123BB8">
      <w:rPr>
        <w:rFonts w:ascii="Open Sans Semibold" w:hAnsi="Open Sans Semibold"/>
        <w:b/>
        <w:bCs/>
        <w:sz w:val="18"/>
      </w:rPr>
      <w:t>W</w:t>
    </w:r>
    <w:r w:rsidRPr="00123BB8">
      <w:rPr>
        <w:rFonts w:ascii="Open Sans Light" w:hAnsi="Open Sans Light"/>
        <w:sz w:val="18"/>
      </w:rPr>
      <w:t xml:space="preserve"> www.css-investments.com  </w:t>
    </w:r>
    <w:r w:rsidRPr="00123BB8">
      <w:rPr>
        <w:rFonts w:ascii="Open Sans Semibold" w:hAnsi="Open Sans Semibold"/>
        <w:b/>
        <w:bCs/>
        <w:sz w:val="18"/>
      </w:rPr>
      <w:t>E</w:t>
    </w:r>
    <w:r w:rsidRPr="00123BB8">
      <w:rPr>
        <w:rFonts w:ascii="Open Sans Light" w:hAnsi="Open Sans Light"/>
        <w:sz w:val="18"/>
      </w:rPr>
      <w:t xml:space="preserve"> info@css-investments.com</w:t>
    </w:r>
  </w:p>
  <w:p w14:paraId="4AC2A655" w14:textId="77777777" w:rsidR="009C3A25" w:rsidRPr="00123BB8" w:rsidRDefault="009C3A25" w:rsidP="009C3A25">
    <w:pPr>
      <w:pStyle w:val="Footer"/>
      <w:spacing w:line="276" w:lineRule="auto"/>
      <w:jc w:val="center"/>
      <w:rPr>
        <w:rFonts w:ascii="Open Sans Light" w:hAnsi="Open Sans Light"/>
        <w:sz w:val="18"/>
      </w:rPr>
    </w:pPr>
    <w:r w:rsidRPr="00123BB8">
      <w:rPr>
        <w:rFonts w:ascii="Open Sans Light" w:hAnsi="Open Sans Light"/>
        <w:sz w:val="18"/>
      </w:rPr>
      <w:t xml:space="preserve">Collins </w:t>
    </w:r>
    <w:r>
      <w:rPr>
        <w:rFonts w:ascii="Open Sans Light" w:hAnsi="Open Sans Light"/>
        <w:sz w:val="18"/>
      </w:rPr>
      <w:t>Sarri Statham Investments Ltd i</w:t>
    </w:r>
    <w:r w:rsidRPr="00123BB8">
      <w:rPr>
        <w:rFonts w:ascii="Open Sans Light" w:hAnsi="Open Sans Light"/>
        <w:sz w:val="18"/>
      </w:rPr>
      <w:t>s authorised and regulated by the Financial Conduct Authority (Registration no. 483868). Registered in England and Wales (Company no. 6539190)</w:t>
    </w:r>
  </w:p>
  <w:p w14:paraId="3E4E0E4A" w14:textId="4CA7BF9A" w:rsidR="001B2CF2" w:rsidRPr="009C3A25" w:rsidRDefault="001B2CF2" w:rsidP="009C3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B55B9" w14:textId="77777777" w:rsidR="001B2CF2" w:rsidRDefault="001B2CF2" w:rsidP="00562901">
      <w:r>
        <w:separator/>
      </w:r>
    </w:p>
  </w:footnote>
  <w:footnote w:type="continuationSeparator" w:id="0">
    <w:p w14:paraId="05736C1B" w14:textId="77777777" w:rsidR="001B2CF2" w:rsidRDefault="001B2CF2" w:rsidP="00562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94B44"/>
    <w:multiLevelType w:val="hybridMultilevel"/>
    <w:tmpl w:val="19D2EF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F13F84"/>
    <w:multiLevelType w:val="hybridMultilevel"/>
    <w:tmpl w:val="5E1000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74164A"/>
    <w:multiLevelType w:val="hybridMultilevel"/>
    <w:tmpl w:val="E80808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B6D07"/>
    <w:multiLevelType w:val="multilevel"/>
    <w:tmpl w:val="01DCC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E015A"/>
    <w:multiLevelType w:val="hybridMultilevel"/>
    <w:tmpl w:val="E2965A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135C1E"/>
    <w:multiLevelType w:val="multilevel"/>
    <w:tmpl w:val="6228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12BC9"/>
    <w:multiLevelType w:val="hybridMultilevel"/>
    <w:tmpl w:val="40BE0E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557482"/>
    <w:multiLevelType w:val="multilevel"/>
    <w:tmpl w:val="D6C6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73E6C"/>
    <w:multiLevelType w:val="multilevel"/>
    <w:tmpl w:val="FDDA4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BA083F"/>
    <w:multiLevelType w:val="hybridMultilevel"/>
    <w:tmpl w:val="7840B6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04560E"/>
    <w:multiLevelType w:val="hybridMultilevel"/>
    <w:tmpl w:val="324C01C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8240EC"/>
    <w:multiLevelType w:val="multilevel"/>
    <w:tmpl w:val="9CA8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080B16"/>
    <w:multiLevelType w:val="hybridMultilevel"/>
    <w:tmpl w:val="2FFAD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B10198"/>
    <w:multiLevelType w:val="hybridMultilevel"/>
    <w:tmpl w:val="59F464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8C5CEB"/>
    <w:multiLevelType w:val="multilevel"/>
    <w:tmpl w:val="CBD2D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0"/>
  </w:num>
  <w:num w:numId="4">
    <w:abstractNumId w:val="9"/>
  </w:num>
  <w:num w:numId="5">
    <w:abstractNumId w:val="7"/>
  </w:num>
  <w:num w:numId="6">
    <w:abstractNumId w:val="8"/>
  </w:num>
  <w:num w:numId="7">
    <w:abstractNumId w:val="5"/>
  </w:num>
  <w:num w:numId="8">
    <w:abstractNumId w:val="3"/>
  </w:num>
  <w:num w:numId="9">
    <w:abstractNumId w:val="11"/>
  </w:num>
  <w:num w:numId="10">
    <w:abstractNumId w:val="14"/>
  </w:num>
  <w:num w:numId="11">
    <w:abstractNumId w:val="12"/>
  </w:num>
  <w:num w:numId="12">
    <w:abstractNumId w:val="4"/>
  </w:num>
  <w:num w:numId="13">
    <w:abstractNumId w:val="1"/>
  </w:num>
  <w:num w:numId="14">
    <w:abstractNumId w:val="2"/>
  </w:num>
  <w:num w:numId="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A5"/>
    <w:rsid w:val="0000025A"/>
    <w:rsid w:val="000018AA"/>
    <w:rsid w:val="0000403F"/>
    <w:rsid w:val="000051A1"/>
    <w:rsid w:val="00007243"/>
    <w:rsid w:val="00007AC6"/>
    <w:rsid w:val="0001083A"/>
    <w:rsid w:val="000119A8"/>
    <w:rsid w:val="00012602"/>
    <w:rsid w:val="000134EC"/>
    <w:rsid w:val="00014546"/>
    <w:rsid w:val="00015CBC"/>
    <w:rsid w:val="000200BD"/>
    <w:rsid w:val="00022CAA"/>
    <w:rsid w:val="000231B1"/>
    <w:rsid w:val="000241DA"/>
    <w:rsid w:val="0002488C"/>
    <w:rsid w:val="000261D6"/>
    <w:rsid w:val="000269C9"/>
    <w:rsid w:val="000306FB"/>
    <w:rsid w:val="00035933"/>
    <w:rsid w:val="000368AE"/>
    <w:rsid w:val="00043A64"/>
    <w:rsid w:val="00044F14"/>
    <w:rsid w:val="00050669"/>
    <w:rsid w:val="00050805"/>
    <w:rsid w:val="00051932"/>
    <w:rsid w:val="00052692"/>
    <w:rsid w:val="00052979"/>
    <w:rsid w:val="00056EE1"/>
    <w:rsid w:val="00060A52"/>
    <w:rsid w:val="000616CD"/>
    <w:rsid w:val="00063004"/>
    <w:rsid w:val="00064495"/>
    <w:rsid w:val="00064E63"/>
    <w:rsid w:val="00065535"/>
    <w:rsid w:val="00066A31"/>
    <w:rsid w:val="00066C6D"/>
    <w:rsid w:val="00066E0C"/>
    <w:rsid w:val="00070741"/>
    <w:rsid w:val="00070BF3"/>
    <w:rsid w:val="00071C38"/>
    <w:rsid w:val="0007469A"/>
    <w:rsid w:val="00074885"/>
    <w:rsid w:val="00074E26"/>
    <w:rsid w:val="00074F2B"/>
    <w:rsid w:val="000904CB"/>
    <w:rsid w:val="000919C9"/>
    <w:rsid w:val="0009239B"/>
    <w:rsid w:val="00093FDE"/>
    <w:rsid w:val="0009581C"/>
    <w:rsid w:val="00096AE4"/>
    <w:rsid w:val="000A136D"/>
    <w:rsid w:val="000A282B"/>
    <w:rsid w:val="000A426E"/>
    <w:rsid w:val="000A4945"/>
    <w:rsid w:val="000A6FC5"/>
    <w:rsid w:val="000A74AB"/>
    <w:rsid w:val="000A76A2"/>
    <w:rsid w:val="000B0B65"/>
    <w:rsid w:val="000B4577"/>
    <w:rsid w:val="000B548B"/>
    <w:rsid w:val="000B551B"/>
    <w:rsid w:val="000C0997"/>
    <w:rsid w:val="000C4434"/>
    <w:rsid w:val="000C4453"/>
    <w:rsid w:val="000C48DD"/>
    <w:rsid w:val="000C4FF5"/>
    <w:rsid w:val="000C6CEA"/>
    <w:rsid w:val="000C79AC"/>
    <w:rsid w:val="000D0767"/>
    <w:rsid w:val="000D0A39"/>
    <w:rsid w:val="000D0CAB"/>
    <w:rsid w:val="000D1593"/>
    <w:rsid w:val="000D2B41"/>
    <w:rsid w:val="000E0966"/>
    <w:rsid w:val="000E51AE"/>
    <w:rsid w:val="000E73BB"/>
    <w:rsid w:val="000E7CC6"/>
    <w:rsid w:val="000F044A"/>
    <w:rsid w:val="000F16FC"/>
    <w:rsid w:val="000F18F2"/>
    <w:rsid w:val="000F25D9"/>
    <w:rsid w:val="000F25F6"/>
    <w:rsid w:val="000F318E"/>
    <w:rsid w:val="000F3DC9"/>
    <w:rsid w:val="000F68A6"/>
    <w:rsid w:val="000F69A8"/>
    <w:rsid w:val="000F6CD8"/>
    <w:rsid w:val="000F73FF"/>
    <w:rsid w:val="00101061"/>
    <w:rsid w:val="00103B68"/>
    <w:rsid w:val="001050FD"/>
    <w:rsid w:val="00105369"/>
    <w:rsid w:val="00106C12"/>
    <w:rsid w:val="00106D41"/>
    <w:rsid w:val="001114F5"/>
    <w:rsid w:val="001136AF"/>
    <w:rsid w:val="00115F0D"/>
    <w:rsid w:val="00116071"/>
    <w:rsid w:val="00123BB8"/>
    <w:rsid w:val="00125A34"/>
    <w:rsid w:val="001266C3"/>
    <w:rsid w:val="00131094"/>
    <w:rsid w:val="001311FB"/>
    <w:rsid w:val="0013167F"/>
    <w:rsid w:val="001321B1"/>
    <w:rsid w:val="001379DB"/>
    <w:rsid w:val="00137C06"/>
    <w:rsid w:val="00140A3F"/>
    <w:rsid w:val="00140AA3"/>
    <w:rsid w:val="0014235A"/>
    <w:rsid w:val="0014734B"/>
    <w:rsid w:val="00147F55"/>
    <w:rsid w:val="00150254"/>
    <w:rsid w:val="00155BEB"/>
    <w:rsid w:val="001675DC"/>
    <w:rsid w:val="00172285"/>
    <w:rsid w:val="00172D5E"/>
    <w:rsid w:val="00173D24"/>
    <w:rsid w:val="0017502F"/>
    <w:rsid w:val="00176C03"/>
    <w:rsid w:val="001771FC"/>
    <w:rsid w:val="001773EC"/>
    <w:rsid w:val="00180630"/>
    <w:rsid w:val="001807C4"/>
    <w:rsid w:val="00181539"/>
    <w:rsid w:val="001836F8"/>
    <w:rsid w:val="001845CF"/>
    <w:rsid w:val="00184C9B"/>
    <w:rsid w:val="00192445"/>
    <w:rsid w:val="001950D3"/>
    <w:rsid w:val="00196AE8"/>
    <w:rsid w:val="001A0E61"/>
    <w:rsid w:val="001A3FC9"/>
    <w:rsid w:val="001A52C9"/>
    <w:rsid w:val="001A59E5"/>
    <w:rsid w:val="001B10A5"/>
    <w:rsid w:val="001B2CF2"/>
    <w:rsid w:val="001B4195"/>
    <w:rsid w:val="001B52C6"/>
    <w:rsid w:val="001B60A9"/>
    <w:rsid w:val="001B631C"/>
    <w:rsid w:val="001B68B4"/>
    <w:rsid w:val="001C249C"/>
    <w:rsid w:val="001C344F"/>
    <w:rsid w:val="001C3904"/>
    <w:rsid w:val="001C4D9B"/>
    <w:rsid w:val="001C5E06"/>
    <w:rsid w:val="001C716A"/>
    <w:rsid w:val="001C7E74"/>
    <w:rsid w:val="001D03CB"/>
    <w:rsid w:val="001D0692"/>
    <w:rsid w:val="001D1E9F"/>
    <w:rsid w:val="001D2E17"/>
    <w:rsid w:val="001D4E4E"/>
    <w:rsid w:val="001D74FE"/>
    <w:rsid w:val="001E0F1B"/>
    <w:rsid w:val="001E1742"/>
    <w:rsid w:val="001E5B5D"/>
    <w:rsid w:val="001F0564"/>
    <w:rsid w:val="001F0FFF"/>
    <w:rsid w:val="001F3789"/>
    <w:rsid w:val="001F3F2E"/>
    <w:rsid w:val="001F6677"/>
    <w:rsid w:val="001F7865"/>
    <w:rsid w:val="002001F5"/>
    <w:rsid w:val="0020176C"/>
    <w:rsid w:val="00201F1E"/>
    <w:rsid w:val="002039EC"/>
    <w:rsid w:val="00204A7F"/>
    <w:rsid w:val="00212A1A"/>
    <w:rsid w:val="00213460"/>
    <w:rsid w:val="00214447"/>
    <w:rsid w:val="00215031"/>
    <w:rsid w:val="00215452"/>
    <w:rsid w:val="00217ED0"/>
    <w:rsid w:val="00221341"/>
    <w:rsid w:val="00222D99"/>
    <w:rsid w:val="0022664C"/>
    <w:rsid w:val="0023074E"/>
    <w:rsid w:val="00230BE4"/>
    <w:rsid w:val="00230F85"/>
    <w:rsid w:val="00231C53"/>
    <w:rsid w:val="00235068"/>
    <w:rsid w:val="002352DD"/>
    <w:rsid w:val="002366E3"/>
    <w:rsid w:val="0024002D"/>
    <w:rsid w:val="00243010"/>
    <w:rsid w:val="002452A6"/>
    <w:rsid w:val="0026251E"/>
    <w:rsid w:val="00262A39"/>
    <w:rsid w:val="002634BF"/>
    <w:rsid w:val="002645CD"/>
    <w:rsid w:val="0026578E"/>
    <w:rsid w:val="00265919"/>
    <w:rsid w:val="0026610F"/>
    <w:rsid w:val="00277167"/>
    <w:rsid w:val="00277D20"/>
    <w:rsid w:val="0028145B"/>
    <w:rsid w:val="00281E53"/>
    <w:rsid w:val="00286A73"/>
    <w:rsid w:val="002908C0"/>
    <w:rsid w:val="0029141D"/>
    <w:rsid w:val="002923F0"/>
    <w:rsid w:val="00294FB2"/>
    <w:rsid w:val="0029595D"/>
    <w:rsid w:val="00297DFF"/>
    <w:rsid w:val="00297FE0"/>
    <w:rsid w:val="002A0835"/>
    <w:rsid w:val="002A4354"/>
    <w:rsid w:val="002A66B8"/>
    <w:rsid w:val="002A775D"/>
    <w:rsid w:val="002B14C0"/>
    <w:rsid w:val="002B1A67"/>
    <w:rsid w:val="002B3996"/>
    <w:rsid w:val="002B57A9"/>
    <w:rsid w:val="002B7542"/>
    <w:rsid w:val="002B7E7A"/>
    <w:rsid w:val="002C0987"/>
    <w:rsid w:val="002C303A"/>
    <w:rsid w:val="002C49B7"/>
    <w:rsid w:val="002C7810"/>
    <w:rsid w:val="002D27CE"/>
    <w:rsid w:val="002D5142"/>
    <w:rsid w:val="002D7810"/>
    <w:rsid w:val="002D7A3C"/>
    <w:rsid w:val="002E1C32"/>
    <w:rsid w:val="002E368F"/>
    <w:rsid w:val="002E45DA"/>
    <w:rsid w:val="002E4988"/>
    <w:rsid w:val="002E554C"/>
    <w:rsid w:val="002E6EE5"/>
    <w:rsid w:val="002F0BD0"/>
    <w:rsid w:val="002F292C"/>
    <w:rsid w:val="002F5801"/>
    <w:rsid w:val="003008F9"/>
    <w:rsid w:val="00301AC7"/>
    <w:rsid w:val="003047CC"/>
    <w:rsid w:val="00311DC4"/>
    <w:rsid w:val="00314F38"/>
    <w:rsid w:val="00316C13"/>
    <w:rsid w:val="00316F5A"/>
    <w:rsid w:val="003265D9"/>
    <w:rsid w:val="00327A74"/>
    <w:rsid w:val="003304F9"/>
    <w:rsid w:val="003342C2"/>
    <w:rsid w:val="00335389"/>
    <w:rsid w:val="00342554"/>
    <w:rsid w:val="00342E9F"/>
    <w:rsid w:val="003503D3"/>
    <w:rsid w:val="0035139B"/>
    <w:rsid w:val="00351593"/>
    <w:rsid w:val="003525E8"/>
    <w:rsid w:val="00352A25"/>
    <w:rsid w:val="00352DA9"/>
    <w:rsid w:val="00362763"/>
    <w:rsid w:val="003632A4"/>
    <w:rsid w:val="0036472B"/>
    <w:rsid w:val="00366A93"/>
    <w:rsid w:val="00366C91"/>
    <w:rsid w:val="00366D78"/>
    <w:rsid w:val="00367F5A"/>
    <w:rsid w:val="00370198"/>
    <w:rsid w:val="00370983"/>
    <w:rsid w:val="00370F97"/>
    <w:rsid w:val="003724B7"/>
    <w:rsid w:val="00372905"/>
    <w:rsid w:val="003773DB"/>
    <w:rsid w:val="003778FC"/>
    <w:rsid w:val="00381130"/>
    <w:rsid w:val="003818A0"/>
    <w:rsid w:val="00381AB2"/>
    <w:rsid w:val="00382B5D"/>
    <w:rsid w:val="00383FAE"/>
    <w:rsid w:val="00384E01"/>
    <w:rsid w:val="00386123"/>
    <w:rsid w:val="003911EF"/>
    <w:rsid w:val="00394F3F"/>
    <w:rsid w:val="00394FD6"/>
    <w:rsid w:val="00396BD2"/>
    <w:rsid w:val="0039745D"/>
    <w:rsid w:val="00397669"/>
    <w:rsid w:val="003B1AFA"/>
    <w:rsid w:val="003B33D7"/>
    <w:rsid w:val="003B4B5C"/>
    <w:rsid w:val="003B4C47"/>
    <w:rsid w:val="003B4FD2"/>
    <w:rsid w:val="003B5950"/>
    <w:rsid w:val="003C0166"/>
    <w:rsid w:val="003C09CD"/>
    <w:rsid w:val="003C0EF1"/>
    <w:rsid w:val="003C2F16"/>
    <w:rsid w:val="003C2F66"/>
    <w:rsid w:val="003C7791"/>
    <w:rsid w:val="003D3A7B"/>
    <w:rsid w:val="003D4B5D"/>
    <w:rsid w:val="003D5759"/>
    <w:rsid w:val="003D5C92"/>
    <w:rsid w:val="003D6253"/>
    <w:rsid w:val="003D63C7"/>
    <w:rsid w:val="003D7401"/>
    <w:rsid w:val="003E12BB"/>
    <w:rsid w:val="003E14E2"/>
    <w:rsid w:val="003E2BF1"/>
    <w:rsid w:val="003E2EA3"/>
    <w:rsid w:val="003E4E10"/>
    <w:rsid w:val="003E75F9"/>
    <w:rsid w:val="003F071D"/>
    <w:rsid w:val="003F258C"/>
    <w:rsid w:val="003F3B7D"/>
    <w:rsid w:val="003F5A29"/>
    <w:rsid w:val="003F5D8C"/>
    <w:rsid w:val="003F7835"/>
    <w:rsid w:val="003F7985"/>
    <w:rsid w:val="003F7F00"/>
    <w:rsid w:val="004000AE"/>
    <w:rsid w:val="004012D5"/>
    <w:rsid w:val="0040299C"/>
    <w:rsid w:val="00403368"/>
    <w:rsid w:val="004047CD"/>
    <w:rsid w:val="00406149"/>
    <w:rsid w:val="00407B7D"/>
    <w:rsid w:val="004101E7"/>
    <w:rsid w:val="00410ECB"/>
    <w:rsid w:val="004116AC"/>
    <w:rsid w:val="0042076B"/>
    <w:rsid w:val="00420C3C"/>
    <w:rsid w:val="00423B5D"/>
    <w:rsid w:val="00423CA7"/>
    <w:rsid w:val="004259CC"/>
    <w:rsid w:val="00425DE2"/>
    <w:rsid w:val="00430765"/>
    <w:rsid w:val="0043123D"/>
    <w:rsid w:val="00431360"/>
    <w:rsid w:val="0043239E"/>
    <w:rsid w:val="004324D7"/>
    <w:rsid w:val="00436AA6"/>
    <w:rsid w:val="004450FE"/>
    <w:rsid w:val="004515FA"/>
    <w:rsid w:val="00452338"/>
    <w:rsid w:val="00452847"/>
    <w:rsid w:val="00452D6C"/>
    <w:rsid w:val="004545BD"/>
    <w:rsid w:val="00455BBA"/>
    <w:rsid w:val="004568DF"/>
    <w:rsid w:val="00456C63"/>
    <w:rsid w:val="00457453"/>
    <w:rsid w:val="00460A61"/>
    <w:rsid w:val="00462046"/>
    <w:rsid w:val="00462889"/>
    <w:rsid w:val="00465B79"/>
    <w:rsid w:val="004677F4"/>
    <w:rsid w:val="00467DD8"/>
    <w:rsid w:val="0047141E"/>
    <w:rsid w:val="00475680"/>
    <w:rsid w:val="00475E7E"/>
    <w:rsid w:val="0047620D"/>
    <w:rsid w:val="00476336"/>
    <w:rsid w:val="004779F3"/>
    <w:rsid w:val="00482D6F"/>
    <w:rsid w:val="00483789"/>
    <w:rsid w:val="00484029"/>
    <w:rsid w:val="004857AC"/>
    <w:rsid w:val="00485C8B"/>
    <w:rsid w:val="0049057D"/>
    <w:rsid w:val="0049094B"/>
    <w:rsid w:val="00491B71"/>
    <w:rsid w:val="004925F1"/>
    <w:rsid w:val="00492868"/>
    <w:rsid w:val="004A1560"/>
    <w:rsid w:val="004A214F"/>
    <w:rsid w:val="004A5330"/>
    <w:rsid w:val="004A7D26"/>
    <w:rsid w:val="004A7DF4"/>
    <w:rsid w:val="004B08FD"/>
    <w:rsid w:val="004B1C99"/>
    <w:rsid w:val="004B27B8"/>
    <w:rsid w:val="004B3455"/>
    <w:rsid w:val="004B4BFF"/>
    <w:rsid w:val="004B6654"/>
    <w:rsid w:val="004B7266"/>
    <w:rsid w:val="004B745A"/>
    <w:rsid w:val="004B7E36"/>
    <w:rsid w:val="004B7F3D"/>
    <w:rsid w:val="004C013E"/>
    <w:rsid w:val="004C0A0E"/>
    <w:rsid w:val="004C13F3"/>
    <w:rsid w:val="004C6C85"/>
    <w:rsid w:val="004C6E61"/>
    <w:rsid w:val="004C72E4"/>
    <w:rsid w:val="004C7AE4"/>
    <w:rsid w:val="004D2579"/>
    <w:rsid w:val="004D6500"/>
    <w:rsid w:val="004D7975"/>
    <w:rsid w:val="004E0CC7"/>
    <w:rsid w:val="004E1CC7"/>
    <w:rsid w:val="004E6E19"/>
    <w:rsid w:val="004E6F3E"/>
    <w:rsid w:val="004E7F10"/>
    <w:rsid w:val="004F0919"/>
    <w:rsid w:val="004F1031"/>
    <w:rsid w:val="004F24CA"/>
    <w:rsid w:val="004F2860"/>
    <w:rsid w:val="004F3369"/>
    <w:rsid w:val="004F44BE"/>
    <w:rsid w:val="004F4C26"/>
    <w:rsid w:val="004F4E3E"/>
    <w:rsid w:val="004F63D1"/>
    <w:rsid w:val="004F6BA6"/>
    <w:rsid w:val="004F7926"/>
    <w:rsid w:val="005023D0"/>
    <w:rsid w:val="00503413"/>
    <w:rsid w:val="00504945"/>
    <w:rsid w:val="00504C15"/>
    <w:rsid w:val="00505303"/>
    <w:rsid w:val="005058FE"/>
    <w:rsid w:val="00505AE2"/>
    <w:rsid w:val="00506FBB"/>
    <w:rsid w:val="00507238"/>
    <w:rsid w:val="00507F7D"/>
    <w:rsid w:val="005116B6"/>
    <w:rsid w:val="00512BF6"/>
    <w:rsid w:val="0051357E"/>
    <w:rsid w:val="00514975"/>
    <w:rsid w:val="00517694"/>
    <w:rsid w:val="00520861"/>
    <w:rsid w:val="00520875"/>
    <w:rsid w:val="0052130C"/>
    <w:rsid w:val="005237FC"/>
    <w:rsid w:val="00524423"/>
    <w:rsid w:val="00524CC2"/>
    <w:rsid w:val="00527A71"/>
    <w:rsid w:val="00531B36"/>
    <w:rsid w:val="00531E7A"/>
    <w:rsid w:val="0053259B"/>
    <w:rsid w:val="00534247"/>
    <w:rsid w:val="005343F7"/>
    <w:rsid w:val="00535673"/>
    <w:rsid w:val="00537B3E"/>
    <w:rsid w:val="00541618"/>
    <w:rsid w:val="0054215B"/>
    <w:rsid w:val="00542F72"/>
    <w:rsid w:val="00543EDA"/>
    <w:rsid w:val="005470F4"/>
    <w:rsid w:val="00547C68"/>
    <w:rsid w:val="005512F9"/>
    <w:rsid w:val="00552BD8"/>
    <w:rsid w:val="00552F05"/>
    <w:rsid w:val="005628D0"/>
    <w:rsid w:val="00562901"/>
    <w:rsid w:val="00563D27"/>
    <w:rsid w:val="0056426B"/>
    <w:rsid w:val="0056504E"/>
    <w:rsid w:val="0056597E"/>
    <w:rsid w:val="00565FE2"/>
    <w:rsid w:val="00570E27"/>
    <w:rsid w:val="0057546D"/>
    <w:rsid w:val="005759BD"/>
    <w:rsid w:val="00575F6D"/>
    <w:rsid w:val="005808B3"/>
    <w:rsid w:val="0058116B"/>
    <w:rsid w:val="005862F9"/>
    <w:rsid w:val="0058646C"/>
    <w:rsid w:val="005911B6"/>
    <w:rsid w:val="005925E6"/>
    <w:rsid w:val="005A153D"/>
    <w:rsid w:val="005A224D"/>
    <w:rsid w:val="005A60D9"/>
    <w:rsid w:val="005A6744"/>
    <w:rsid w:val="005A6E20"/>
    <w:rsid w:val="005A7B21"/>
    <w:rsid w:val="005B010D"/>
    <w:rsid w:val="005B1078"/>
    <w:rsid w:val="005B1828"/>
    <w:rsid w:val="005B1953"/>
    <w:rsid w:val="005B44AD"/>
    <w:rsid w:val="005C2672"/>
    <w:rsid w:val="005C28B1"/>
    <w:rsid w:val="005C2B71"/>
    <w:rsid w:val="005C2E3B"/>
    <w:rsid w:val="005C7464"/>
    <w:rsid w:val="005D2E70"/>
    <w:rsid w:val="005D5319"/>
    <w:rsid w:val="005D6446"/>
    <w:rsid w:val="005E0436"/>
    <w:rsid w:val="005E24BC"/>
    <w:rsid w:val="005E3256"/>
    <w:rsid w:val="005E7208"/>
    <w:rsid w:val="005F0129"/>
    <w:rsid w:val="005F72A1"/>
    <w:rsid w:val="00601CEF"/>
    <w:rsid w:val="0060324B"/>
    <w:rsid w:val="00603BEB"/>
    <w:rsid w:val="00603C0F"/>
    <w:rsid w:val="00604236"/>
    <w:rsid w:val="0060678C"/>
    <w:rsid w:val="006076E6"/>
    <w:rsid w:val="00610E3A"/>
    <w:rsid w:val="0061336E"/>
    <w:rsid w:val="00613E69"/>
    <w:rsid w:val="00614B57"/>
    <w:rsid w:val="0061625D"/>
    <w:rsid w:val="00620D0F"/>
    <w:rsid w:val="00625FFA"/>
    <w:rsid w:val="006263A2"/>
    <w:rsid w:val="00632E0D"/>
    <w:rsid w:val="0063303A"/>
    <w:rsid w:val="00634914"/>
    <w:rsid w:val="00634D22"/>
    <w:rsid w:val="00636218"/>
    <w:rsid w:val="00636E68"/>
    <w:rsid w:val="006371C0"/>
    <w:rsid w:val="006375EF"/>
    <w:rsid w:val="00637A0B"/>
    <w:rsid w:val="006445DF"/>
    <w:rsid w:val="0064567E"/>
    <w:rsid w:val="00650E4E"/>
    <w:rsid w:val="006531DA"/>
    <w:rsid w:val="006576D6"/>
    <w:rsid w:val="00664428"/>
    <w:rsid w:val="0067019D"/>
    <w:rsid w:val="00680A9C"/>
    <w:rsid w:val="00682F13"/>
    <w:rsid w:val="006874C7"/>
    <w:rsid w:val="00691E3B"/>
    <w:rsid w:val="00693CA5"/>
    <w:rsid w:val="0069581C"/>
    <w:rsid w:val="00695BD6"/>
    <w:rsid w:val="006966EF"/>
    <w:rsid w:val="006A2298"/>
    <w:rsid w:val="006A421A"/>
    <w:rsid w:val="006A7D48"/>
    <w:rsid w:val="006B6472"/>
    <w:rsid w:val="006B764C"/>
    <w:rsid w:val="006C0EC9"/>
    <w:rsid w:val="006C4619"/>
    <w:rsid w:val="006C7A18"/>
    <w:rsid w:val="006C7AF9"/>
    <w:rsid w:val="006D005C"/>
    <w:rsid w:val="006D04B3"/>
    <w:rsid w:val="006D05FF"/>
    <w:rsid w:val="006D0F01"/>
    <w:rsid w:val="006D1B8C"/>
    <w:rsid w:val="006D2F19"/>
    <w:rsid w:val="006D532E"/>
    <w:rsid w:val="006D77D8"/>
    <w:rsid w:val="006D7E64"/>
    <w:rsid w:val="006E073E"/>
    <w:rsid w:val="006E0C04"/>
    <w:rsid w:val="006E45AC"/>
    <w:rsid w:val="006E7668"/>
    <w:rsid w:val="006F36A6"/>
    <w:rsid w:val="006F4496"/>
    <w:rsid w:val="006F6ACC"/>
    <w:rsid w:val="006F7109"/>
    <w:rsid w:val="007001C6"/>
    <w:rsid w:val="00702EF4"/>
    <w:rsid w:val="00702F14"/>
    <w:rsid w:val="00705562"/>
    <w:rsid w:val="00705D46"/>
    <w:rsid w:val="00706077"/>
    <w:rsid w:val="00712422"/>
    <w:rsid w:val="0071660B"/>
    <w:rsid w:val="007170BB"/>
    <w:rsid w:val="00723CF3"/>
    <w:rsid w:val="00724D93"/>
    <w:rsid w:val="0072537A"/>
    <w:rsid w:val="0073100C"/>
    <w:rsid w:val="00731902"/>
    <w:rsid w:val="00733C6F"/>
    <w:rsid w:val="0073479B"/>
    <w:rsid w:val="00735CE3"/>
    <w:rsid w:val="00744196"/>
    <w:rsid w:val="00746B23"/>
    <w:rsid w:val="007502F2"/>
    <w:rsid w:val="00750384"/>
    <w:rsid w:val="00750589"/>
    <w:rsid w:val="0075097A"/>
    <w:rsid w:val="00752508"/>
    <w:rsid w:val="00753374"/>
    <w:rsid w:val="007541E0"/>
    <w:rsid w:val="00754F1A"/>
    <w:rsid w:val="007579CE"/>
    <w:rsid w:val="00761501"/>
    <w:rsid w:val="007620D1"/>
    <w:rsid w:val="0076234B"/>
    <w:rsid w:val="00764C1B"/>
    <w:rsid w:val="00765925"/>
    <w:rsid w:val="007702A3"/>
    <w:rsid w:val="00773CC4"/>
    <w:rsid w:val="0077445E"/>
    <w:rsid w:val="00775219"/>
    <w:rsid w:val="00777F21"/>
    <w:rsid w:val="00784B9B"/>
    <w:rsid w:val="00787461"/>
    <w:rsid w:val="0079219F"/>
    <w:rsid w:val="0079399D"/>
    <w:rsid w:val="00793E2D"/>
    <w:rsid w:val="0079762A"/>
    <w:rsid w:val="00797F94"/>
    <w:rsid w:val="007A28F4"/>
    <w:rsid w:val="007A312D"/>
    <w:rsid w:val="007A47CC"/>
    <w:rsid w:val="007A5BB5"/>
    <w:rsid w:val="007B3131"/>
    <w:rsid w:val="007B409A"/>
    <w:rsid w:val="007B5B52"/>
    <w:rsid w:val="007B6A79"/>
    <w:rsid w:val="007C0AD6"/>
    <w:rsid w:val="007C2DCA"/>
    <w:rsid w:val="007C3116"/>
    <w:rsid w:val="007D10A5"/>
    <w:rsid w:val="007D1186"/>
    <w:rsid w:val="007D20E9"/>
    <w:rsid w:val="007D2676"/>
    <w:rsid w:val="007D2BED"/>
    <w:rsid w:val="007D4569"/>
    <w:rsid w:val="007D6688"/>
    <w:rsid w:val="007D6825"/>
    <w:rsid w:val="007E0F50"/>
    <w:rsid w:val="007E22F9"/>
    <w:rsid w:val="007E24A8"/>
    <w:rsid w:val="007E42A5"/>
    <w:rsid w:val="007E7216"/>
    <w:rsid w:val="007F1A4C"/>
    <w:rsid w:val="007F22C7"/>
    <w:rsid w:val="007F340D"/>
    <w:rsid w:val="007F59C3"/>
    <w:rsid w:val="007F5F32"/>
    <w:rsid w:val="007F6D7F"/>
    <w:rsid w:val="008028E1"/>
    <w:rsid w:val="00802A8C"/>
    <w:rsid w:val="00802AB8"/>
    <w:rsid w:val="008067C5"/>
    <w:rsid w:val="00807AE2"/>
    <w:rsid w:val="008104C5"/>
    <w:rsid w:val="00811BAD"/>
    <w:rsid w:val="00813820"/>
    <w:rsid w:val="00817A47"/>
    <w:rsid w:val="00817B7D"/>
    <w:rsid w:val="00824115"/>
    <w:rsid w:val="008273E2"/>
    <w:rsid w:val="00831E94"/>
    <w:rsid w:val="00832207"/>
    <w:rsid w:val="00834E3F"/>
    <w:rsid w:val="00834EF9"/>
    <w:rsid w:val="00835B32"/>
    <w:rsid w:val="008362DF"/>
    <w:rsid w:val="00836DAB"/>
    <w:rsid w:val="008377FD"/>
    <w:rsid w:val="0084043C"/>
    <w:rsid w:val="0084246F"/>
    <w:rsid w:val="0084274E"/>
    <w:rsid w:val="008448F5"/>
    <w:rsid w:val="00845437"/>
    <w:rsid w:val="008465E7"/>
    <w:rsid w:val="00847845"/>
    <w:rsid w:val="0085161C"/>
    <w:rsid w:val="00853BCA"/>
    <w:rsid w:val="00853DCE"/>
    <w:rsid w:val="00854D8A"/>
    <w:rsid w:val="0086562A"/>
    <w:rsid w:val="0086619B"/>
    <w:rsid w:val="00867194"/>
    <w:rsid w:val="00867D6F"/>
    <w:rsid w:val="00870EE4"/>
    <w:rsid w:val="00873BCE"/>
    <w:rsid w:val="0087412E"/>
    <w:rsid w:val="00874E3E"/>
    <w:rsid w:val="00876D07"/>
    <w:rsid w:val="00881B45"/>
    <w:rsid w:val="00882411"/>
    <w:rsid w:val="008837ED"/>
    <w:rsid w:val="00884F92"/>
    <w:rsid w:val="00886745"/>
    <w:rsid w:val="00890C26"/>
    <w:rsid w:val="0089270D"/>
    <w:rsid w:val="0089536F"/>
    <w:rsid w:val="008A2316"/>
    <w:rsid w:val="008A3A11"/>
    <w:rsid w:val="008A6781"/>
    <w:rsid w:val="008B1FA5"/>
    <w:rsid w:val="008B2FF2"/>
    <w:rsid w:val="008B38B0"/>
    <w:rsid w:val="008B4149"/>
    <w:rsid w:val="008C167A"/>
    <w:rsid w:val="008C4714"/>
    <w:rsid w:val="008C7D2F"/>
    <w:rsid w:val="008D270D"/>
    <w:rsid w:val="008D30A0"/>
    <w:rsid w:val="008D31A4"/>
    <w:rsid w:val="008D74E1"/>
    <w:rsid w:val="008E0165"/>
    <w:rsid w:val="008E1658"/>
    <w:rsid w:val="008E2D7A"/>
    <w:rsid w:val="008E3AA6"/>
    <w:rsid w:val="008E3E29"/>
    <w:rsid w:val="008E3F5F"/>
    <w:rsid w:val="008F5739"/>
    <w:rsid w:val="0090196E"/>
    <w:rsid w:val="00905864"/>
    <w:rsid w:val="009073AE"/>
    <w:rsid w:val="0091121E"/>
    <w:rsid w:val="00911E39"/>
    <w:rsid w:val="009124D8"/>
    <w:rsid w:val="00916B38"/>
    <w:rsid w:val="009172F2"/>
    <w:rsid w:val="00920CA4"/>
    <w:rsid w:val="009262D5"/>
    <w:rsid w:val="00926D40"/>
    <w:rsid w:val="00927B35"/>
    <w:rsid w:val="0093093A"/>
    <w:rsid w:val="00932C2E"/>
    <w:rsid w:val="0093360D"/>
    <w:rsid w:val="00934513"/>
    <w:rsid w:val="00935027"/>
    <w:rsid w:val="009374EC"/>
    <w:rsid w:val="0093752A"/>
    <w:rsid w:val="00940F9A"/>
    <w:rsid w:val="00941907"/>
    <w:rsid w:val="00944261"/>
    <w:rsid w:val="0094487E"/>
    <w:rsid w:val="009462B8"/>
    <w:rsid w:val="00946D08"/>
    <w:rsid w:val="00951643"/>
    <w:rsid w:val="009525CF"/>
    <w:rsid w:val="009528F5"/>
    <w:rsid w:val="00952923"/>
    <w:rsid w:val="009539EF"/>
    <w:rsid w:val="009542A6"/>
    <w:rsid w:val="0095488F"/>
    <w:rsid w:val="00955502"/>
    <w:rsid w:val="00957D4A"/>
    <w:rsid w:val="00961DD1"/>
    <w:rsid w:val="00963329"/>
    <w:rsid w:val="00963DE7"/>
    <w:rsid w:val="00964EE6"/>
    <w:rsid w:val="0096566B"/>
    <w:rsid w:val="009666DA"/>
    <w:rsid w:val="00967304"/>
    <w:rsid w:val="00970620"/>
    <w:rsid w:val="00972653"/>
    <w:rsid w:val="00972BD8"/>
    <w:rsid w:val="00974EEA"/>
    <w:rsid w:val="00975451"/>
    <w:rsid w:val="00976C7E"/>
    <w:rsid w:val="0097716A"/>
    <w:rsid w:val="00977228"/>
    <w:rsid w:val="00977371"/>
    <w:rsid w:val="009777F5"/>
    <w:rsid w:val="0098030C"/>
    <w:rsid w:val="0098047B"/>
    <w:rsid w:val="0098412C"/>
    <w:rsid w:val="009863F5"/>
    <w:rsid w:val="00987B7D"/>
    <w:rsid w:val="009923CE"/>
    <w:rsid w:val="00995009"/>
    <w:rsid w:val="0099529A"/>
    <w:rsid w:val="00997871"/>
    <w:rsid w:val="009A0A31"/>
    <w:rsid w:val="009A19E2"/>
    <w:rsid w:val="009A27F4"/>
    <w:rsid w:val="009A450A"/>
    <w:rsid w:val="009A4B38"/>
    <w:rsid w:val="009B312C"/>
    <w:rsid w:val="009B396F"/>
    <w:rsid w:val="009B410A"/>
    <w:rsid w:val="009B5F89"/>
    <w:rsid w:val="009B640B"/>
    <w:rsid w:val="009B6845"/>
    <w:rsid w:val="009B6994"/>
    <w:rsid w:val="009C31FD"/>
    <w:rsid w:val="009C3A25"/>
    <w:rsid w:val="009D1028"/>
    <w:rsid w:val="009D6041"/>
    <w:rsid w:val="009D66FF"/>
    <w:rsid w:val="009D77BF"/>
    <w:rsid w:val="009E0E3D"/>
    <w:rsid w:val="009E1A69"/>
    <w:rsid w:val="009E3A29"/>
    <w:rsid w:val="009E4BB5"/>
    <w:rsid w:val="009E5765"/>
    <w:rsid w:val="009E680E"/>
    <w:rsid w:val="009E7F8E"/>
    <w:rsid w:val="009F29C8"/>
    <w:rsid w:val="009F2A65"/>
    <w:rsid w:val="009F2CBA"/>
    <w:rsid w:val="009F6DCF"/>
    <w:rsid w:val="00A00010"/>
    <w:rsid w:val="00A02CDF"/>
    <w:rsid w:val="00A04370"/>
    <w:rsid w:val="00A05175"/>
    <w:rsid w:val="00A05A18"/>
    <w:rsid w:val="00A11506"/>
    <w:rsid w:val="00A12311"/>
    <w:rsid w:val="00A124A3"/>
    <w:rsid w:val="00A1302E"/>
    <w:rsid w:val="00A1492B"/>
    <w:rsid w:val="00A15F00"/>
    <w:rsid w:val="00A17810"/>
    <w:rsid w:val="00A212CB"/>
    <w:rsid w:val="00A24091"/>
    <w:rsid w:val="00A25C78"/>
    <w:rsid w:val="00A27F22"/>
    <w:rsid w:val="00A31024"/>
    <w:rsid w:val="00A31998"/>
    <w:rsid w:val="00A41FFD"/>
    <w:rsid w:val="00A42A6B"/>
    <w:rsid w:val="00A4510A"/>
    <w:rsid w:val="00A457D7"/>
    <w:rsid w:val="00A519D0"/>
    <w:rsid w:val="00A519FF"/>
    <w:rsid w:val="00A55398"/>
    <w:rsid w:val="00A5633F"/>
    <w:rsid w:val="00A56EAA"/>
    <w:rsid w:val="00A6051D"/>
    <w:rsid w:val="00A62143"/>
    <w:rsid w:val="00A6357A"/>
    <w:rsid w:val="00A64C7B"/>
    <w:rsid w:val="00A6619B"/>
    <w:rsid w:val="00A66E81"/>
    <w:rsid w:val="00A71B17"/>
    <w:rsid w:val="00A72251"/>
    <w:rsid w:val="00A7398B"/>
    <w:rsid w:val="00A73D2C"/>
    <w:rsid w:val="00A743B1"/>
    <w:rsid w:val="00A745D0"/>
    <w:rsid w:val="00A748E7"/>
    <w:rsid w:val="00A767EE"/>
    <w:rsid w:val="00A779FB"/>
    <w:rsid w:val="00A77D5F"/>
    <w:rsid w:val="00A80A13"/>
    <w:rsid w:val="00A80BD1"/>
    <w:rsid w:val="00A81DC7"/>
    <w:rsid w:val="00A8266D"/>
    <w:rsid w:val="00A82E81"/>
    <w:rsid w:val="00A866AD"/>
    <w:rsid w:val="00A87D80"/>
    <w:rsid w:val="00A92AC2"/>
    <w:rsid w:val="00A93CAE"/>
    <w:rsid w:val="00A93D7A"/>
    <w:rsid w:val="00A93F09"/>
    <w:rsid w:val="00A94717"/>
    <w:rsid w:val="00A94D4D"/>
    <w:rsid w:val="00AA0B01"/>
    <w:rsid w:val="00AA0E2F"/>
    <w:rsid w:val="00AA5DBD"/>
    <w:rsid w:val="00AA6537"/>
    <w:rsid w:val="00AB000E"/>
    <w:rsid w:val="00AB046D"/>
    <w:rsid w:val="00AB0CC9"/>
    <w:rsid w:val="00AB0E41"/>
    <w:rsid w:val="00AB19C6"/>
    <w:rsid w:val="00AB2AAA"/>
    <w:rsid w:val="00AB388A"/>
    <w:rsid w:val="00AB420F"/>
    <w:rsid w:val="00AB52B6"/>
    <w:rsid w:val="00AB6A88"/>
    <w:rsid w:val="00AB75E0"/>
    <w:rsid w:val="00AC177F"/>
    <w:rsid w:val="00AC1B04"/>
    <w:rsid w:val="00AC3609"/>
    <w:rsid w:val="00AC36A5"/>
    <w:rsid w:val="00AC571F"/>
    <w:rsid w:val="00AC760B"/>
    <w:rsid w:val="00AC7ECF"/>
    <w:rsid w:val="00AD14B9"/>
    <w:rsid w:val="00AD2EBB"/>
    <w:rsid w:val="00AD798F"/>
    <w:rsid w:val="00AE1165"/>
    <w:rsid w:val="00AE1FF0"/>
    <w:rsid w:val="00AE3945"/>
    <w:rsid w:val="00AE3EDA"/>
    <w:rsid w:val="00AF2E2C"/>
    <w:rsid w:val="00AF2F3E"/>
    <w:rsid w:val="00AF578D"/>
    <w:rsid w:val="00AF5842"/>
    <w:rsid w:val="00AF587B"/>
    <w:rsid w:val="00B02620"/>
    <w:rsid w:val="00B064E4"/>
    <w:rsid w:val="00B07099"/>
    <w:rsid w:val="00B14D69"/>
    <w:rsid w:val="00B217D7"/>
    <w:rsid w:val="00B220FD"/>
    <w:rsid w:val="00B2242A"/>
    <w:rsid w:val="00B23F77"/>
    <w:rsid w:val="00B242A1"/>
    <w:rsid w:val="00B26D8C"/>
    <w:rsid w:val="00B2797B"/>
    <w:rsid w:val="00B30240"/>
    <w:rsid w:val="00B3074D"/>
    <w:rsid w:val="00B35C49"/>
    <w:rsid w:val="00B41FB8"/>
    <w:rsid w:val="00B450E8"/>
    <w:rsid w:val="00B457C3"/>
    <w:rsid w:val="00B47A70"/>
    <w:rsid w:val="00B538E8"/>
    <w:rsid w:val="00B56AEC"/>
    <w:rsid w:val="00B617FF"/>
    <w:rsid w:val="00B62245"/>
    <w:rsid w:val="00B6417E"/>
    <w:rsid w:val="00B659A5"/>
    <w:rsid w:val="00B70CCF"/>
    <w:rsid w:val="00B72D1F"/>
    <w:rsid w:val="00B75622"/>
    <w:rsid w:val="00B75C3F"/>
    <w:rsid w:val="00B805ED"/>
    <w:rsid w:val="00B80FCD"/>
    <w:rsid w:val="00B825EC"/>
    <w:rsid w:val="00B84FB7"/>
    <w:rsid w:val="00B85A48"/>
    <w:rsid w:val="00B91CE4"/>
    <w:rsid w:val="00B93257"/>
    <w:rsid w:val="00B936AD"/>
    <w:rsid w:val="00B93DC7"/>
    <w:rsid w:val="00B96A56"/>
    <w:rsid w:val="00B97528"/>
    <w:rsid w:val="00BA3852"/>
    <w:rsid w:val="00BA38DE"/>
    <w:rsid w:val="00BA3F16"/>
    <w:rsid w:val="00BA4AF0"/>
    <w:rsid w:val="00BA6C15"/>
    <w:rsid w:val="00BB43F0"/>
    <w:rsid w:val="00BB4D12"/>
    <w:rsid w:val="00BC0A89"/>
    <w:rsid w:val="00BC0B02"/>
    <w:rsid w:val="00BC17C4"/>
    <w:rsid w:val="00BC2934"/>
    <w:rsid w:val="00BC3128"/>
    <w:rsid w:val="00BC36FD"/>
    <w:rsid w:val="00BC5341"/>
    <w:rsid w:val="00BD2E43"/>
    <w:rsid w:val="00BE0788"/>
    <w:rsid w:val="00BE1F85"/>
    <w:rsid w:val="00BE4408"/>
    <w:rsid w:val="00BE6175"/>
    <w:rsid w:val="00BE6A3C"/>
    <w:rsid w:val="00BE7410"/>
    <w:rsid w:val="00BE7B48"/>
    <w:rsid w:val="00BF25E5"/>
    <w:rsid w:val="00BF2B44"/>
    <w:rsid w:val="00BF31BC"/>
    <w:rsid w:val="00BF3748"/>
    <w:rsid w:val="00C02AEC"/>
    <w:rsid w:val="00C02EA5"/>
    <w:rsid w:val="00C038FA"/>
    <w:rsid w:val="00C04DCD"/>
    <w:rsid w:val="00C06A99"/>
    <w:rsid w:val="00C152C1"/>
    <w:rsid w:val="00C165E4"/>
    <w:rsid w:val="00C23548"/>
    <w:rsid w:val="00C23F60"/>
    <w:rsid w:val="00C33020"/>
    <w:rsid w:val="00C4015E"/>
    <w:rsid w:val="00C401BC"/>
    <w:rsid w:val="00C404DF"/>
    <w:rsid w:val="00C4096A"/>
    <w:rsid w:val="00C45463"/>
    <w:rsid w:val="00C50206"/>
    <w:rsid w:val="00C50EF5"/>
    <w:rsid w:val="00C52C84"/>
    <w:rsid w:val="00C52CBF"/>
    <w:rsid w:val="00C545D8"/>
    <w:rsid w:val="00C553C7"/>
    <w:rsid w:val="00C56547"/>
    <w:rsid w:val="00C57AEC"/>
    <w:rsid w:val="00C605ED"/>
    <w:rsid w:val="00C63750"/>
    <w:rsid w:val="00C65CA8"/>
    <w:rsid w:val="00C66260"/>
    <w:rsid w:val="00C67277"/>
    <w:rsid w:val="00C676FE"/>
    <w:rsid w:val="00C70036"/>
    <w:rsid w:val="00C7317C"/>
    <w:rsid w:val="00C7355E"/>
    <w:rsid w:val="00C74619"/>
    <w:rsid w:val="00C755E2"/>
    <w:rsid w:val="00C75CD2"/>
    <w:rsid w:val="00C76193"/>
    <w:rsid w:val="00C76993"/>
    <w:rsid w:val="00C81080"/>
    <w:rsid w:val="00C83C3C"/>
    <w:rsid w:val="00C850C6"/>
    <w:rsid w:val="00C85EE4"/>
    <w:rsid w:val="00C902BF"/>
    <w:rsid w:val="00C92F20"/>
    <w:rsid w:val="00C9361A"/>
    <w:rsid w:val="00C94DF9"/>
    <w:rsid w:val="00CA2626"/>
    <w:rsid w:val="00CA3B4E"/>
    <w:rsid w:val="00CA41DE"/>
    <w:rsid w:val="00CA5FDA"/>
    <w:rsid w:val="00CA7B50"/>
    <w:rsid w:val="00CB0061"/>
    <w:rsid w:val="00CB044A"/>
    <w:rsid w:val="00CB0DBB"/>
    <w:rsid w:val="00CB1161"/>
    <w:rsid w:val="00CB4E72"/>
    <w:rsid w:val="00CB6B91"/>
    <w:rsid w:val="00CC1E3D"/>
    <w:rsid w:val="00CC5BB9"/>
    <w:rsid w:val="00CC5F2F"/>
    <w:rsid w:val="00CD4E5B"/>
    <w:rsid w:val="00CD7517"/>
    <w:rsid w:val="00CD75B9"/>
    <w:rsid w:val="00CE1D96"/>
    <w:rsid w:val="00CE1EB5"/>
    <w:rsid w:val="00CE7C98"/>
    <w:rsid w:val="00CE7F79"/>
    <w:rsid w:val="00CF36FE"/>
    <w:rsid w:val="00CF3F9D"/>
    <w:rsid w:val="00CF4EDF"/>
    <w:rsid w:val="00CF61C7"/>
    <w:rsid w:val="00CF66DD"/>
    <w:rsid w:val="00CF7B44"/>
    <w:rsid w:val="00D00D47"/>
    <w:rsid w:val="00D100CA"/>
    <w:rsid w:val="00D1196F"/>
    <w:rsid w:val="00D121B8"/>
    <w:rsid w:val="00D12F93"/>
    <w:rsid w:val="00D13268"/>
    <w:rsid w:val="00D13866"/>
    <w:rsid w:val="00D13D24"/>
    <w:rsid w:val="00D14CAE"/>
    <w:rsid w:val="00D14DF1"/>
    <w:rsid w:val="00D16FD0"/>
    <w:rsid w:val="00D20604"/>
    <w:rsid w:val="00D21812"/>
    <w:rsid w:val="00D24D33"/>
    <w:rsid w:val="00D32CCE"/>
    <w:rsid w:val="00D34B45"/>
    <w:rsid w:val="00D4207F"/>
    <w:rsid w:val="00D47C38"/>
    <w:rsid w:val="00D50ACC"/>
    <w:rsid w:val="00D563E6"/>
    <w:rsid w:val="00D61E9F"/>
    <w:rsid w:val="00D63F6D"/>
    <w:rsid w:val="00D64237"/>
    <w:rsid w:val="00D644D8"/>
    <w:rsid w:val="00D64DE1"/>
    <w:rsid w:val="00D67D84"/>
    <w:rsid w:val="00D718F9"/>
    <w:rsid w:val="00D7454B"/>
    <w:rsid w:val="00D7477A"/>
    <w:rsid w:val="00D76996"/>
    <w:rsid w:val="00D76B01"/>
    <w:rsid w:val="00D81027"/>
    <w:rsid w:val="00D84398"/>
    <w:rsid w:val="00D86513"/>
    <w:rsid w:val="00D869C2"/>
    <w:rsid w:val="00D87A5D"/>
    <w:rsid w:val="00D906E5"/>
    <w:rsid w:val="00D90AA3"/>
    <w:rsid w:val="00D90D6D"/>
    <w:rsid w:val="00D91FF2"/>
    <w:rsid w:val="00D93B82"/>
    <w:rsid w:val="00DA4D24"/>
    <w:rsid w:val="00DA78F0"/>
    <w:rsid w:val="00DB0302"/>
    <w:rsid w:val="00DB2566"/>
    <w:rsid w:val="00DB359F"/>
    <w:rsid w:val="00DB3B42"/>
    <w:rsid w:val="00DB7199"/>
    <w:rsid w:val="00DC2E2E"/>
    <w:rsid w:val="00DC3F6F"/>
    <w:rsid w:val="00DC5CD7"/>
    <w:rsid w:val="00DC5D75"/>
    <w:rsid w:val="00DC641C"/>
    <w:rsid w:val="00DD033A"/>
    <w:rsid w:val="00DD0C62"/>
    <w:rsid w:val="00DD1C44"/>
    <w:rsid w:val="00DD4541"/>
    <w:rsid w:val="00DD66D1"/>
    <w:rsid w:val="00DE00D3"/>
    <w:rsid w:val="00DE0846"/>
    <w:rsid w:val="00DE0D77"/>
    <w:rsid w:val="00DE0F97"/>
    <w:rsid w:val="00DE1FA0"/>
    <w:rsid w:val="00DE29CC"/>
    <w:rsid w:val="00DE5EFE"/>
    <w:rsid w:val="00DE6181"/>
    <w:rsid w:val="00DE7EBF"/>
    <w:rsid w:val="00DF2A05"/>
    <w:rsid w:val="00DF4127"/>
    <w:rsid w:val="00DF6A8E"/>
    <w:rsid w:val="00E0469C"/>
    <w:rsid w:val="00E0482A"/>
    <w:rsid w:val="00E07D38"/>
    <w:rsid w:val="00E11CAB"/>
    <w:rsid w:val="00E126F8"/>
    <w:rsid w:val="00E14681"/>
    <w:rsid w:val="00E16A18"/>
    <w:rsid w:val="00E20931"/>
    <w:rsid w:val="00E2304F"/>
    <w:rsid w:val="00E24D2E"/>
    <w:rsid w:val="00E256E2"/>
    <w:rsid w:val="00E259D1"/>
    <w:rsid w:val="00E27644"/>
    <w:rsid w:val="00E27BAA"/>
    <w:rsid w:val="00E31097"/>
    <w:rsid w:val="00E32610"/>
    <w:rsid w:val="00E32649"/>
    <w:rsid w:val="00E328C8"/>
    <w:rsid w:val="00E32F7C"/>
    <w:rsid w:val="00E35732"/>
    <w:rsid w:val="00E35B47"/>
    <w:rsid w:val="00E372CB"/>
    <w:rsid w:val="00E4034B"/>
    <w:rsid w:val="00E43918"/>
    <w:rsid w:val="00E43EA3"/>
    <w:rsid w:val="00E44D6F"/>
    <w:rsid w:val="00E46DBB"/>
    <w:rsid w:val="00E5325B"/>
    <w:rsid w:val="00E53C71"/>
    <w:rsid w:val="00E5532C"/>
    <w:rsid w:val="00E57596"/>
    <w:rsid w:val="00E57650"/>
    <w:rsid w:val="00E57AA8"/>
    <w:rsid w:val="00E60D98"/>
    <w:rsid w:val="00E61D5D"/>
    <w:rsid w:val="00E64FF3"/>
    <w:rsid w:val="00E65A0E"/>
    <w:rsid w:val="00E66956"/>
    <w:rsid w:val="00E72D4D"/>
    <w:rsid w:val="00E72E95"/>
    <w:rsid w:val="00E75A99"/>
    <w:rsid w:val="00E807A7"/>
    <w:rsid w:val="00E80C92"/>
    <w:rsid w:val="00E81C67"/>
    <w:rsid w:val="00E84656"/>
    <w:rsid w:val="00E91CC4"/>
    <w:rsid w:val="00E9364E"/>
    <w:rsid w:val="00E9783D"/>
    <w:rsid w:val="00EA0429"/>
    <w:rsid w:val="00EA2116"/>
    <w:rsid w:val="00EA2766"/>
    <w:rsid w:val="00EA3074"/>
    <w:rsid w:val="00EA413C"/>
    <w:rsid w:val="00EA4573"/>
    <w:rsid w:val="00EA5E06"/>
    <w:rsid w:val="00EA74DA"/>
    <w:rsid w:val="00EB110E"/>
    <w:rsid w:val="00EB2B79"/>
    <w:rsid w:val="00EB555A"/>
    <w:rsid w:val="00EB605C"/>
    <w:rsid w:val="00EB6EA2"/>
    <w:rsid w:val="00EC1F6F"/>
    <w:rsid w:val="00EC2605"/>
    <w:rsid w:val="00EC291F"/>
    <w:rsid w:val="00EC2BC5"/>
    <w:rsid w:val="00EC641A"/>
    <w:rsid w:val="00EC7396"/>
    <w:rsid w:val="00ED030A"/>
    <w:rsid w:val="00ED57C5"/>
    <w:rsid w:val="00ED5AFD"/>
    <w:rsid w:val="00ED73C7"/>
    <w:rsid w:val="00EE3D2E"/>
    <w:rsid w:val="00EE5C51"/>
    <w:rsid w:val="00EE6838"/>
    <w:rsid w:val="00EE693E"/>
    <w:rsid w:val="00EF11C9"/>
    <w:rsid w:val="00EF224F"/>
    <w:rsid w:val="00EF3AF0"/>
    <w:rsid w:val="00EF3C8C"/>
    <w:rsid w:val="00EF4B02"/>
    <w:rsid w:val="00EF5747"/>
    <w:rsid w:val="00EF7EE5"/>
    <w:rsid w:val="00F0032E"/>
    <w:rsid w:val="00F00632"/>
    <w:rsid w:val="00F007A7"/>
    <w:rsid w:val="00F01C30"/>
    <w:rsid w:val="00F023DD"/>
    <w:rsid w:val="00F036DE"/>
    <w:rsid w:val="00F06872"/>
    <w:rsid w:val="00F068A0"/>
    <w:rsid w:val="00F07F16"/>
    <w:rsid w:val="00F1182A"/>
    <w:rsid w:val="00F11F87"/>
    <w:rsid w:val="00F12C31"/>
    <w:rsid w:val="00F1379B"/>
    <w:rsid w:val="00F15704"/>
    <w:rsid w:val="00F15B1B"/>
    <w:rsid w:val="00F1667E"/>
    <w:rsid w:val="00F16A9A"/>
    <w:rsid w:val="00F16EEB"/>
    <w:rsid w:val="00F17B7C"/>
    <w:rsid w:val="00F22CEF"/>
    <w:rsid w:val="00F241AB"/>
    <w:rsid w:val="00F258E1"/>
    <w:rsid w:val="00F258EC"/>
    <w:rsid w:val="00F266AE"/>
    <w:rsid w:val="00F27054"/>
    <w:rsid w:val="00F30F79"/>
    <w:rsid w:val="00F32F80"/>
    <w:rsid w:val="00F33559"/>
    <w:rsid w:val="00F35662"/>
    <w:rsid w:val="00F4002E"/>
    <w:rsid w:val="00F40940"/>
    <w:rsid w:val="00F4391A"/>
    <w:rsid w:val="00F44220"/>
    <w:rsid w:val="00F45E38"/>
    <w:rsid w:val="00F45F37"/>
    <w:rsid w:val="00F50D9B"/>
    <w:rsid w:val="00F52AC3"/>
    <w:rsid w:val="00F53644"/>
    <w:rsid w:val="00F549CF"/>
    <w:rsid w:val="00F54CBF"/>
    <w:rsid w:val="00F5638A"/>
    <w:rsid w:val="00F608C6"/>
    <w:rsid w:val="00F62853"/>
    <w:rsid w:val="00F6339C"/>
    <w:rsid w:val="00F64452"/>
    <w:rsid w:val="00F66BF6"/>
    <w:rsid w:val="00F67B8F"/>
    <w:rsid w:val="00F71888"/>
    <w:rsid w:val="00F726F1"/>
    <w:rsid w:val="00F74015"/>
    <w:rsid w:val="00F75DA1"/>
    <w:rsid w:val="00F835FD"/>
    <w:rsid w:val="00F8450A"/>
    <w:rsid w:val="00F86DAB"/>
    <w:rsid w:val="00F91E72"/>
    <w:rsid w:val="00F93D3F"/>
    <w:rsid w:val="00F952F3"/>
    <w:rsid w:val="00F969FD"/>
    <w:rsid w:val="00FA2420"/>
    <w:rsid w:val="00FA2B2B"/>
    <w:rsid w:val="00FA31CE"/>
    <w:rsid w:val="00FA418F"/>
    <w:rsid w:val="00FA5C8A"/>
    <w:rsid w:val="00FB100B"/>
    <w:rsid w:val="00FB5FD8"/>
    <w:rsid w:val="00FB6C87"/>
    <w:rsid w:val="00FC0234"/>
    <w:rsid w:val="00FC06AB"/>
    <w:rsid w:val="00FC3800"/>
    <w:rsid w:val="00FC6629"/>
    <w:rsid w:val="00FC6CB6"/>
    <w:rsid w:val="00FC7A89"/>
    <w:rsid w:val="00FD34B6"/>
    <w:rsid w:val="00FD5741"/>
    <w:rsid w:val="00FD641D"/>
    <w:rsid w:val="00FD6DD2"/>
    <w:rsid w:val="00FD7BFE"/>
    <w:rsid w:val="00FE02B0"/>
    <w:rsid w:val="00FE2791"/>
    <w:rsid w:val="00FE4D0C"/>
    <w:rsid w:val="00FE7B2D"/>
    <w:rsid w:val="00FE7CDC"/>
    <w:rsid w:val="00FF2BD4"/>
    <w:rsid w:val="00FF4140"/>
    <w:rsid w:val="00FF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B33DBD4"/>
  <w14:defaultImageDpi w14:val="32767"/>
  <w15:docId w15:val="{C93EE193-2BE5-40A5-ACAC-8AB570CA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1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901"/>
    <w:pPr>
      <w:tabs>
        <w:tab w:val="center" w:pos="4513"/>
        <w:tab w:val="right" w:pos="9026"/>
      </w:tabs>
    </w:pPr>
  </w:style>
  <w:style w:type="character" w:customStyle="1" w:styleId="HeaderChar">
    <w:name w:val="Header Char"/>
    <w:basedOn w:val="DefaultParagraphFont"/>
    <w:link w:val="Header"/>
    <w:uiPriority w:val="99"/>
    <w:rsid w:val="00562901"/>
  </w:style>
  <w:style w:type="paragraph" w:styleId="Footer">
    <w:name w:val="footer"/>
    <w:basedOn w:val="Normal"/>
    <w:link w:val="FooterChar"/>
    <w:uiPriority w:val="99"/>
    <w:unhideWhenUsed/>
    <w:rsid w:val="00562901"/>
    <w:pPr>
      <w:tabs>
        <w:tab w:val="center" w:pos="4513"/>
        <w:tab w:val="right" w:pos="9026"/>
      </w:tabs>
    </w:pPr>
  </w:style>
  <w:style w:type="character" w:customStyle="1" w:styleId="FooterChar">
    <w:name w:val="Footer Char"/>
    <w:basedOn w:val="DefaultParagraphFont"/>
    <w:link w:val="Footer"/>
    <w:uiPriority w:val="99"/>
    <w:rsid w:val="00562901"/>
  </w:style>
  <w:style w:type="paragraph" w:styleId="FootnoteText">
    <w:name w:val="footnote text"/>
    <w:basedOn w:val="Normal"/>
    <w:link w:val="FootnoteTextChar"/>
    <w:uiPriority w:val="99"/>
    <w:unhideWhenUsed/>
    <w:rsid w:val="00A93CAE"/>
  </w:style>
  <w:style w:type="character" w:customStyle="1" w:styleId="FootnoteTextChar">
    <w:name w:val="Footnote Text Char"/>
    <w:basedOn w:val="DefaultParagraphFont"/>
    <w:link w:val="FootnoteText"/>
    <w:uiPriority w:val="99"/>
    <w:rsid w:val="00A93CAE"/>
  </w:style>
  <w:style w:type="character" w:styleId="FootnoteReference">
    <w:name w:val="footnote reference"/>
    <w:basedOn w:val="DefaultParagraphFont"/>
    <w:uiPriority w:val="99"/>
    <w:unhideWhenUsed/>
    <w:rsid w:val="00A93CAE"/>
    <w:rPr>
      <w:vertAlign w:val="superscript"/>
    </w:rPr>
  </w:style>
  <w:style w:type="paragraph" w:styleId="ListParagraph">
    <w:name w:val="List Paragraph"/>
    <w:basedOn w:val="Normal"/>
    <w:uiPriority w:val="34"/>
    <w:qFormat/>
    <w:rsid w:val="00A1492B"/>
    <w:pPr>
      <w:ind w:left="720"/>
      <w:contextualSpacing/>
    </w:pPr>
  </w:style>
  <w:style w:type="paragraph" w:styleId="BalloonText">
    <w:name w:val="Balloon Text"/>
    <w:basedOn w:val="Normal"/>
    <w:link w:val="BalloonTextChar"/>
    <w:uiPriority w:val="99"/>
    <w:semiHidden/>
    <w:unhideWhenUsed/>
    <w:rsid w:val="00D76996"/>
    <w:rPr>
      <w:rFonts w:ascii="Tahoma" w:hAnsi="Tahoma" w:cs="Tahoma"/>
      <w:sz w:val="16"/>
      <w:szCs w:val="16"/>
    </w:rPr>
  </w:style>
  <w:style w:type="character" w:customStyle="1" w:styleId="BalloonTextChar">
    <w:name w:val="Balloon Text Char"/>
    <w:basedOn w:val="DefaultParagraphFont"/>
    <w:link w:val="BalloonText"/>
    <w:uiPriority w:val="99"/>
    <w:semiHidden/>
    <w:rsid w:val="00D76996"/>
    <w:rPr>
      <w:rFonts w:ascii="Tahoma" w:hAnsi="Tahoma" w:cs="Tahoma"/>
      <w:sz w:val="16"/>
      <w:szCs w:val="16"/>
    </w:rPr>
  </w:style>
  <w:style w:type="character" w:styleId="Hyperlink">
    <w:name w:val="Hyperlink"/>
    <w:basedOn w:val="DefaultParagraphFont"/>
    <w:uiPriority w:val="99"/>
    <w:unhideWhenUsed/>
    <w:rsid w:val="009E0E3D"/>
    <w:rPr>
      <w:color w:val="0563C1" w:themeColor="hyperlink"/>
      <w:u w:val="single"/>
    </w:rPr>
  </w:style>
  <w:style w:type="character" w:customStyle="1" w:styleId="flagicon">
    <w:name w:val="flagicon"/>
    <w:basedOn w:val="DefaultParagraphFont"/>
    <w:rsid w:val="00C605ED"/>
  </w:style>
  <w:style w:type="character" w:customStyle="1" w:styleId="nowrap">
    <w:name w:val="nowrap"/>
    <w:basedOn w:val="DefaultParagraphFont"/>
    <w:rsid w:val="00C605ED"/>
  </w:style>
  <w:style w:type="paragraph" w:styleId="NoSpacing">
    <w:name w:val="No Spacing"/>
    <w:uiPriority w:val="1"/>
    <w:qFormat/>
    <w:rsid w:val="00AB000E"/>
  </w:style>
  <w:style w:type="character" w:styleId="UnresolvedMention">
    <w:name w:val="Unresolved Mention"/>
    <w:basedOn w:val="DefaultParagraphFont"/>
    <w:uiPriority w:val="99"/>
    <w:semiHidden/>
    <w:unhideWhenUsed/>
    <w:rsid w:val="0077445E"/>
    <w:rPr>
      <w:color w:val="605E5C"/>
      <w:shd w:val="clear" w:color="auto" w:fill="E1DFDD"/>
    </w:rPr>
  </w:style>
  <w:style w:type="character" w:styleId="Strong">
    <w:name w:val="Strong"/>
    <w:basedOn w:val="DefaultParagraphFont"/>
    <w:uiPriority w:val="22"/>
    <w:qFormat/>
    <w:rsid w:val="00636E68"/>
    <w:rPr>
      <w:b/>
      <w:bCs/>
    </w:rPr>
  </w:style>
  <w:style w:type="character" w:styleId="Emphasis">
    <w:name w:val="Emphasis"/>
    <w:basedOn w:val="DefaultParagraphFont"/>
    <w:uiPriority w:val="20"/>
    <w:qFormat/>
    <w:rsid w:val="00B30240"/>
    <w:rPr>
      <w:i/>
      <w:iCs/>
    </w:rPr>
  </w:style>
  <w:style w:type="paragraph" w:styleId="NormalWeb">
    <w:name w:val="Normal (Web)"/>
    <w:basedOn w:val="Normal"/>
    <w:uiPriority w:val="99"/>
    <w:semiHidden/>
    <w:unhideWhenUsed/>
    <w:rsid w:val="00B30240"/>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7826">
      <w:bodyDiv w:val="1"/>
      <w:marLeft w:val="0"/>
      <w:marRight w:val="0"/>
      <w:marTop w:val="0"/>
      <w:marBottom w:val="0"/>
      <w:divBdr>
        <w:top w:val="none" w:sz="0" w:space="0" w:color="auto"/>
        <w:left w:val="none" w:sz="0" w:space="0" w:color="auto"/>
        <w:bottom w:val="none" w:sz="0" w:space="0" w:color="auto"/>
        <w:right w:val="none" w:sz="0" w:space="0" w:color="auto"/>
      </w:divBdr>
    </w:div>
    <w:div w:id="44377936">
      <w:bodyDiv w:val="1"/>
      <w:marLeft w:val="0"/>
      <w:marRight w:val="0"/>
      <w:marTop w:val="0"/>
      <w:marBottom w:val="0"/>
      <w:divBdr>
        <w:top w:val="none" w:sz="0" w:space="0" w:color="auto"/>
        <w:left w:val="none" w:sz="0" w:space="0" w:color="auto"/>
        <w:bottom w:val="none" w:sz="0" w:space="0" w:color="auto"/>
        <w:right w:val="none" w:sz="0" w:space="0" w:color="auto"/>
      </w:divBdr>
    </w:div>
    <w:div w:id="127627172">
      <w:bodyDiv w:val="1"/>
      <w:marLeft w:val="0"/>
      <w:marRight w:val="0"/>
      <w:marTop w:val="0"/>
      <w:marBottom w:val="0"/>
      <w:divBdr>
        <w:top w:val="none" w:sz="0" w:space="0" w:color="auto"/>
        <w:left w:val="none" w:sz="0" w:space="0" w:color="auto"/>
        <w:bottom w:val="none" w:sz="0" w:space="0" w:color="auto"/>
        <w:right w:val="none" w:sz="0" w:space="0" w:color="auto"/>
      </w:divBdr>
    </w:div>
    <w:div w:id="234360189">
      <w:bodyDiv w:val="1"/>
      <w:marLeft w:val="0"/>
      <w:marRight w:val="0"/>
      <w:marTop w:val="0"/>
      <w:marBottom w:val="0"/>
      <w:divBdr>
        <w:top w:val="none" w:sz="0" w:space="0" w:color="auto"/>
        <w:left w:val="none" w:sz="0" w:space="0" w:color="auto"/>
        <w:bottom w:val="none" w:sz="0" w:space="0" w:color="auto"/>
        <w:right w:val="none" w:sz="0" w:space="0" w:color="auto"/>
      </w:divBdr>
    </w:div>
    <w:div w:id="309747068">
      <w:bodyDiv w:val="1"/>
      <w:marLeft w:val="0"/>
      <w:marRight w:val="0"/>
      <w:marTop w:val="0"/>
      <w:marBottom w:val="0"/>
      <w:divBdr>
        <w:top w:val="none" w:sz="0" w:space="0" w:color="auto"/>
        <w:left w:val="none" w:sz="0" w:space="0" w:color="auto"/>
        <w:bottom w:val="none" w:sz="0" w:space="0" w:color="auto"/>
        <w:right w:val="none" w:sz="0" w:space="0" w:color="auto"/>
      </w:divBdr>
    </w:div>
    <w:div w:id="318655295">
      <w:bodyDiv w:val="1"/>
      <w:marLeft w:val="0"/>
      <w:marRight w:val="0"/>
      <w:marTop w:val="0"/>
      <w:marBottom w:val="0"/>
      <w:divBdr>
        <w:top w:val="none" w:sz="0" w:space="0" w:color="auto"/>
        <w:left w:val="none" w:sz="0" w:space="0" w:color="auto"/>
        <w:bottom w:val="none" w:sz="0" w:space="0" w:color="auto"/>
        <w:right w:val="none" w:sz="0" w:space="0" w:color="auto"/>
      </w:divBdr>
    </w:div>
    <w:div w:id="407272464">
      <w:bodyDiv w:val="1"/>
      <w:marLeft w:val="0"/>
      <w:marRight w:val="0"/>
      <w:marTop w:val="0"/>
      <w:marBottom w:val="0"/>
      <w:divBdr>
        <w:top w:val="none" w:sz="0" w:space="0" w:color="auto"/>
        <w:left w:val="none" w:sz="0" w:space="0" w:color="auto"/>
        <w:bottom w:val="none" w:sz="0" w:space="0" w:color="auto"/>
        <w:right w:val="none" w:sz="0" w:space="0" w:color="auto"/>
      </w:divBdr>
    </w:div>
    <w:div w:id="419713364">
      <w:bodyDiv w:val="1"/>
      <w:marLeft w:val="0"/>
      <w:marRight w:val="0"/>
      <w:marTop w:val="0"/>
      <w:marBottom w:val="0"/>
      <w:divBdr>
        <w:top w:val="none" w:sz="0" w:space="0" w:color="auto"/>
        <w:left w:val="none" w:sz="0" w:space="0" w:color="auto"/>
        <w:bottom w:val="none" w:sz="0" w:space="0" w:color="auto"/>
        <w:right w:val="none" w:sz="0" w:space="0" w:color="auto"/>
      </w:divBdr>
    </w:div>
    <w:div w:id="466243168">
      <w:bodyDiv w:val="1"/>
      <w:marLeft w:val="0"/>
      <w:marRight w:val="0"/>
      <w:marTop w:val="0"/>
      <w:marBottom w:val="0"/>
      <w:divBdr>
        <w:top w:val="none" w:sz="0" w:space="0" w:color="auto"/>
        <w:left w:val="none" w:sz="0" w:space="0" w:color="auto"/>
        <w:bottom w:val="none" w:sz="0" w:space="0" w:color="auto"/>
        <w:right w:val="none" w:sz="0" w:space="0" w:color="auto"/>
      </w:divBdr>
    </w:div>
    <w:div w:id="496846880">
      <w:bodyDiv w:val="1"/>
      <w:marLeft w:val="0"/>
      <w:marRight w:val="0"/>
      <w:marTop w:val="0"/>
      <w:marBottom w:val="0"/>
      <w:divBdr>
        <w:top w:val="none" w:sz="0" w:space="0" w:color="auto"/>
        <w:left w:val="none" w:sz="0" w:space="0" w:color="auto"/>
        <w:bottom w:val="none" w:sz="0" w:space="0" w:color="auto"/>
        <w:right w:val="none" w:sz="0" w:space="0" w:color="auto"/>
      </w:divBdr>
    </w:div>
    <w:div w:id="539435420">
      <w:bodyDiv w:val="1"/>
      <w:marLeft w:val="0"/>
      <w:marRight w:val="0"/>
      <w:marTop w:val="0"/>
      <w:marBottom w:val="0"/>
      <w:divBdr>
        <w:top w:val="none" w:sz="0" w:space="0" w:color="auto"/>
        <w:left w:val="none" w:sz="0" w:space="0" w:color="auto"/>
        <w:bottom w:val="none" w:sz="0" w:space="0" w:color="auto"/>
        <w:right w:val="none" w:sz="0" w:space="0" w:color="auto"/>
      </w:divBdr>
      <w:divsChild>
        <w:div w:id="80370004">
          <w:marLeft w:val="0"/>
          <w:marRight w:val="0"/>
          <w:marTop w:val="0"/>
          <w:marBottom w:val="0"/>
          <w:divBdr>
            <w:top w:val="none" w:sz="0" w:space="0" w:color="auto"/>
            <w:left w:val="none" w:sz="0" w:space="0" w:color="auto"/>
            <w:bottom w:val="none" w:sz="0" w:space="0" w:color="auto"/>
            <w:right w:val="none" w:sz="0" w:space="0" w:color="auto"/>
          </w:divBdr>
        </w:div>
        <w:div w:id="2099666515">
          <w:marLeft w:val="336"/>
          <w:marRight w:val="0"/>
          <w:marTop w:val="120"/>
          <w:marBottom w:val="312"/>
          <w:divBdr>
            <w:top w:val="none" w:sz="0" w:space="0" w:color="auto"/>
            <w:left w:val="none" w:sz="0" w:space="0" w:color="auto"/>
            <w:bottom w:val="none" w:sz="0" w:space="0" w:color="auto"/>
            <w:right w:val="none" w:sz="0" w:space="0" w:color="auto"/>
          </w:divBdr>
          <w:divsChild>
            <w:div w:id="3841078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8387131">
          <w:marLeft w:val="336"/>
          <w:marRight w:val="0"/>
          <w:marTop w:val="120"/>
          <w:marBottom w:val="312"/>
          <w:divBdr>
            <w:top w:val="none" w:sz="0" w:space="0" w:color="auto"/>
            <w:left w:val="none" w:sz="0" w:space="0" w:color="auto"/>
            <w:bottom w:val="none" w:sz="0" w:space="0" w:color="auto"/>
            <w:right w:val="none" w:sz="0" w:space="0" w:color="auto"/>
          </w:divBdr>
          <w:divsChild>
            <w:div w:id="12261429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9633315">
          <w:marLeft w:val="0"/>
          <w:marRight w:val="0"/>
          <w:marTop w:val="0"/>
          <w:marBottom w:val="120"/>
          <w:divBdr>
            <w:top w:val="none" w:sz="0" w:space="0" w:color="auto"/>
            <w:left w:val="none" w:sz="0" w:space="0" w:color="auto"/>
            <w:bottom w:val="none" w:sz="0" w:space="0" w:color="auto"/>
            <w:right w:val="none" w:sz="0" w:space="0" w:color="auto"/>
          </w:divBdr>
        </w:div>
      </w:divsChild>
    </w:div>
    <w:div w:id="639000613">
      <w:bodyDiv w:val="1"/>
      <w:marLeft w:val="0"/>
      <w:marRight w:val="0"/>
      <w:marTop w:val="0"/>
      <w:marBottom w:val="0"/>
      <w:divBdr>
        <w:top w:val="none" w:sz="0" w:space="0" w:color="auto"/>
        <w:left w:val="none" w:sz="0" w:space="0" w:color="auto"/>
        <w:bottom w:val="none" w:sz="0" w:space="0" w:color="auto"/>
        <w:right w:val="none" w:sz="0" w:space="0" w:color="auto"/>
      </w:divBdr>
    </w:div>
    <w:div w:id="682901908">
      <w:bodyDiv w:val="1"/>
      <w:marLeft w:val="0"/>
      <w:marRight w:val="0"/>
      <w:marTop w:val="0"/>
      <w:marBottom w:val="0"/>
      <w:divBdr>
        <w:top w:val="none" w:sz="0" w:space="0" w:color="auto"/>
        <w:left w:val="none" w:sz="0" w:space="0" w:color="auto"/>
        <w:bottom w:val="none" w:sz="0" w:space="0" w:color="auto"/>
        <w:right w:val="none" w:sz="0" w:space="0" w:color="auto"/>
      </w:divBdr>
    </w:div>
    <w:div w:id="751003468">
      <w:bodyDiv w:val="1"/>
      <w:marLeft w:val="0"/>
      <w:marRight w:val="0"/>
      <w:marTop w:val="0"/>
      <w:marBottom w:val="0"/>
      <w:divBdr>
        <w:top w:val="none" w:sz="0" w:space="0" w:color="auto"/>
        <w:left w:val="none" w:sz="0" w:space="0" w:color="auto"/>
        <w:bottom w:val="none" w:sz="0" w:space="0" w:color="auto"/>
        <w:right w:val="none" w:sz="0" w:space="0" w:color="auto"/>
      </w:divBdr>
    </w:div>
    <w:div w:id="890070882">
      <w:bodyDiv w:val="1"/>
      <w:marLeft w:val="0"/>
      <w:marRight w:val="0"/>
      <w:marTop w:val="0"/>
      <w:marBottom w:val="0"/>
      <w:divBdr>
        <w:top w:val="none" w:sz="0" w:space="0" w:color="auto"/>
        <w:left w:val="none" w:sz="0" w:space="0" w:color="auto"/>
        <w:bottom w:val="none" w:sz="0" w:space="0" w:color="auto"/>
        <w:right w:val="none" w:sz="0" w:space="0" w:color="auto"/>
      </w:divBdr>
      <w:divsChild>
        <w:div w:id="481582472">
          <w:marLeft w:val="0"/>
          <w:marRight w:val="0"/>
          <w:marTop w:val="0"/>
          <w:marBottom w:val="0"/>
          <w:divBdr>
            <w:top w:val="none" w:sz="0" w:space="0" w:color="auto"/>
            <w:left w:val="none" w:sz="0" w:space="0" w:color="auto"/>
            <w:bottom w:val="none" w:sz="0" w:space="0" w:color="auto"/>
            <w:right w:val="none" w:sz="0" w:space="0" w:color="auto"/>
          </w:divBdr>
        </w:div>
        <w:div w:id="1297419082">
          <w:marLeft w:val="0"/>
          <w:marRight w:val="0"/>
          <w:marTop w:val="0"/>
          <w:marBottom w:val="0"/>
          <w:divBdr>
            <w:top w:val="none" w:sz="0" w:space="0" w:color="auto"/>
            <w:left w:val="none" w:sz="0" w:space="0" w:color="auto"/>
            <w:bottom w:val="none" w:sz="0" w:space="0" w:color="auto"/>
            <w:right w:val="none" w:sz="0" w:space="0" w:color="auto"/>
          </w:divBdr>
        </w:div>
        <w:div w:id="663707820">
          <w:marLeft w:val="0"/>
          <w:marRight w:val="0"/>
          <w:marTop w:val="0"/>
          <w:marBottom w:val="0"/>
          <w:divBdr>
            <w:top w:val="none" w:sz="0" w:space="0" w:color="auto"/>
            <w:left w:val="none" w:sz="0" w:space="0" w:color="auto"/>
            <w:bottom w:val="none" w:sz="0" w:space="0" w:color="auto"/>
            <w:right w:val="none" w:sz="0" w:space="0" w:color="auto"/>
          </w:divBdr>
        </w:div>
        <w:div w:id="1174612318">
          <w:marLeft w:val="0"/>
          <w:marRight w:val="0"/>
          <w:marTop w:val="0"/>
          <w:marBottom w:val="0"/>
          <w:divBdr>
            <w:top w:val="none" w:sz="0" w:space="0" w:color="auto"/>
            <w:left w:val="none" w:sz="0" w:space="0" w:color="auto"/>
            <w:bottom w:val="none" w:sz="0" w:space="0" w:color="auto"/>
            <w:right w:val="none" w:sz="0" w:space="0" w:color="auto"/>
          </w:divBdr>
        </w:div>
        <w:div w:id="26495719">
          <w:marLeft w:val="0"/>
          <w:marRight w:val="0"/>
          <w:marTop w:val="0"/>
          <w:marBottom w:val="0"/>
          <w:divBdr>
            <w:top w:val="none" w:sz="0" w:space="0" w:color="auto"/>
            <w:left w:val="none" w:sz="0" w:space="0" w:color="auto"/>
            <w:bottom w:val="none" w:sz="0" w:space="0" w:color="auto"/>
            <w:right w:val="none" w:sz="0" w:space="0" w:color="auto"/>
          </w:divBdr>
        </w:div>
        <w:div w:id="515923342">
          <w:marLeft w:val="0"/>
          <w:marRight w:val="0"/>
          <w:marTop w:val="0"/>
          <w:marBottom w:val="0"/>
          <w:divBdr>
            <w:top w:val="none" w:sz="0" w:space="0" w:color="auto"/>
            <w:left w:val="none" w:sz="0" w:space="0" w:color="auto"/>
            <w:bottom w:val="none" w:sz="0" w:space="0" w:color="auto"/>
            <w:right w:val="none" w:sz="0" w:space="0" w:color="auto"/>
          </w:divBdr>
        </w:div>
      </w:divsChild>
    </w:div>
    <w:div w:id="1128205907">
      <w:bodyDiv w:val="1"/>
      <w:marLeft w:val="0"/>
      <w:marRight w:val="0"/>
      <w:marTop w:val="0"/>
      <w:marBottom w:val="0"/>
      <w:divBdr>
        <w:top w:val="none" w:sz="0" w:space="0" w:color="auto"/>
        <w:left w:val="none" w:sz="0" w:space="0" w:color="auto"/>
        <w:bottom w:val="none" w:sz="0" w:space="0" w:color="auto"/>
        <w:right w:val="none" w:sz="0" w:space="0" w:color="auto"/>
      </w:divBdr>
    </w:div>
    <w:div w:id="1223324870">
      <w:bodyDiv w:val="1"/>
      <w:marLeft w:val="0"/>
      <w:marRight w:val="0"/>
      <w:marTop w:val="0"/>
      <w:marBottom w:val="0"/>
      <w:divBdr>
        <w:top w:val="none" w:sz="0" w:space="0" w:color="auto"/>
        <w:left w:val="none" w:sz="0" w:space="0" w:color="auto"/>
        <w:bottom w:val="none" w:sz="0" w:space="0" w:color="auto"/>
        <w:right w:val="none" w:sz="0" w:space="0" w:color="auto"/>
      </w:divBdr>
    </w:div>
    <w:div w:id="1279335539">
      <w:bodyDiv w:val="1"/>
      <w:marLeft w:val="0"/>
      <w:marRight w:val="0"/>
      <w:marTop w:val="0"/>
      <w:marBottom w:val="0"/>
      <w:divBdr>
        <w:top w:val="none" w:sz="0" w:space="0" w:color="auto"/>
        <w:left w:val="none" w:sz="0" w:space="0" w:color="auto"/>
        <w:bottom w:val="none" w:sz="0" w:space="0" w:color="auto"/>
        <w:right w:val="none" w:sz="0" w:space="0" w:color="auto"/>
      </w:divBdr>
    </w:div>
    <w:div w:id="1316032003">
      <w:bodyDiv w:val="1"/>
      <w:marLeft w:val="0"/>
      <w:marRight w:val="0"/>
      <w:marTop w:val="0"/>
      <w:marBottom w:val="0"/>
      <w:divBdr>
        <w:top w:val="none" w:sz="0" w:space="0" w:color="auto"/>
        <w:left w:val="none" w:sz="0" w:space="0" w:color="auto"/>
        <w:bottom w:val="none" w:sz="0" w:space="0" w:color="auto"/>
        <w:right w:val="none" w:sz="0" w:space="0" w:color="auto"/>
      </w:divBdr>
      <w:divsChild>
        <w:div w:id="1396783242">
          <w:marLeft w:val="0"/>
          <w:marRight w:val="0"/>
          <w:marTop w:val="0"/>
          <w:marBottom w:val="0"/>
          <w:divBdr>
            <w:top w:val="none" w:sz="0" w:space="0" w:color="auto"/>
            <w:left w:val="none" w:sz="0" w:space="0" w:color="auto"/>
            <w:bottom w:val="none" w:sz="0" w:space="0" w:color="auto"/>
            <w:right w:val="none" w:sz="0" w:space="0" w:color="auto"/>
          </w:divBdr>
        </w:div>
        <w:div w:id="604271465">
          <w:marLeft w:val="0"/>
          <w:marRight w:val="0"/>
          <w:marTop w:val="0"/>
          <w:marBottom w:val="0"/>
          <w:divBdr>
            <w:top w:val="none" w:sz="0" w:space="0" w:color="auto"/>
            <w:left w:val="none" w:sz="0" w:space="0" w:color="auto"/>
            <w:bottom w:val="none" w:sz="0" w:space="0" w:color="auto"/>
            <w:right w:val="none" w:sz="0" w:space="0" w:color="auto"/>
          </w:divBdr>
        </w:div>
        <w:div w:id="883565749">
          <w:marLeft w:val="0"/>
          <w:marRight w:val="0"/>
          <w:marTop w:val="0"/>
          <w:marBottom w:val="0"/>
          <w:divBdr>
            <w:top w:val="none" w:sz="0" w:space="0" w:color="auto"/>
            <w:left w:val="none" w:sz="0" w:space="0" w:color="auto"/>
            <w:bottom w:val="none" w:sz="0" w:space="0" w:color="auto"/>
            <w:right w:val="none" w:sz="0" w:space="0" w:color="auto"/>
          </w:divBdr>
        </w:div>
        <w:div w:id="1137452451">
          <w:marLeft w:val="0"/>
          <w:marRight w:val="0"/>
          <w:marTop w:val="0"/>
          <w:marBottom w:val="0"/>
          <w:divBdr>
            <w:top w:val="none" w:sz="0" w:space="0" w:color="auto"/>
            <w:left w:val="none" w:sz="0" w:space="0" w:color="auto"/>
            <w:bottom w:val="none" w:sz="0" w:space="0" w:color="auto"/>
            <w:right w:val="none" w:sz="0" w:space="0" w:color="auto"/>
          </w:divBdr>
        </w:div>
        <w:div w:id="2090082048">
          <w:marLeft w:val="0"/>
          <w:marRight w:val="0"/>
          <w:marTop w:val="0"/>
          <w:marBottom w:val="0"/>
          <w:divBdr>
            <w:top w:val="none" w:sz="0" w:space="0" w:color="auto"/>
            <w:left w:val="none" w:sz="0" w:space="0" w:color="auto"/>
            <w:bottom w:val="none" w:sz="0" w:space="0" w:color="auto"/>
            <w:right w:val="none" w:sz="0" w:space="0" w:color="auto"/>
          </w:divBdr>
        </w:div>
        <w:div w:id="1260140024">
          <w:marLeft w:val="0"/>
          <w:marRight w:val="0"/>
          <w:marTop w:val="0"/>
          <w:marBottom w:val="0"/>
          <w:divBdr>
            <w:top w:val="none" w:sz="0" w:space="0" w:color="auto"/>
            <w:left w:val="none" w:sz="0" w:space="0" w:color="auto"/>
            <w:bottom w:val="none" w:sz="0" w:space="0" w:color="auto"/>
            <w:right w:val="none" w:sz="0" w:space="0" w:color="auto"/>
          </w:divBdr>
        </w:div>
        <w:div w:id="1984045004">
          <w:marLeft w:val="0"/>
          <w:marRight w:val="0"/>
          <w:marTop w:val="0"/>
          <w:marBottom w:val="0"/>
          <w:divBdr>
            <w:top w:val="none" w:sz="0" w:space="0" w:color="auto"/>
            <w:left w:val="none" w:sz="0" w:space="0" w:color="auto"/>
            <w:bottom w:val="none" w:sz="0" w:space="0" w:color="auto"/>
            <w:right w:val="none" w:sz="0" w:space="0" w:color="auto"/>
          </w:divBdr>
        </w:div>
        <w:div w:id="1548252525">
          <w:marLeft w:val="0"/>
          <w:marRight w:val="0"/>
          <w:marTop w:val="0"/>
          <w:marBottom w:val="0"/>
          <w:divBdr>
            <w:top w:val="none" w:sz="0" w:space="0" w:color="auto"/>
            <w:left w:val="none" w:sz="0" w:space="0" w:color="auto"/>
            <w:bottom w:val="none" w:sz="0" w:space="0" w:color="auto"/>
            <w:right w:val="none" w:sz="0" w:space="0" w:color="auto"/>
          </w:divBdr>
        </w:div>
        <w:div w:id="128286574">
          <w:marLeft w:val="0"/>
          <w:marRight w:val="0"/>
          <w:marTop w:val="0"/>
          <w:marBottom w:val="0"/>
          <w:divBdr>
            <w:top w:val="none" w:sz="0" w:space="0" w:color="auto"/>
            <w:left w:val="none" w:sz="0" w:space="0" w:color="auto"/>
            <w:bottom w:val="none" w:sz="0" w:space="0" w:color="auto"/>
            <w:right w:val="none" w:sz="0" w:space="0" w:color="auto"/>
          </w:divBdr>
        </w:div>
        <w:div w:id="1532499350">
          <w:marLeft w:val="0"/>
          <w:marRight w:val="0"/>
          <w:marTop w:val="0"/>
          <w:marBottom w:val="0"/>
          <w:divBdr>
            <w:top w:val="none" w:sz="0" w:space="0" w:color="auto"/>
            <w:left w:val="none" w:sz="0" w:space="0" w:color="auto"/>
            <w:bottom w:val="none" w:sz="0" w:space="0" w:color="auto"/>
            <w:right w:val="none" w:sz="0" w:space="0" w:color="auto"/>
          </w:divBdr>
        </w:div>
        <w:div w:id="844174000">
          <w:marLeft w:val="0"/>
          <w:marRight w:val="0"/>
          <w:marTop w:val="0"/>
          <w:marBottom w:val="0"/>
          <w:divBdr>
            <w:top w:val="none" w:sz="0" w:space="0" w:color="auto"/>
            <w:left w:val="none" w:sz="0" w:space="0" w:color="auto"/>
            <w:bottom w:val="none" w:sz="0" w:space="0" w:color="auto"/>
            <w:right w:val="none" w:sz="0" w:space="0" w:color="auto"/>
          </w:divBdr>
        </w:div>
        <w:div w:id="2144690831">
          <w:marLeft w:val="0"/>
          <w:marRight w:val="0"/>
          <w:marTop w:val="0"/>
          <w:marBottom w:val="0"/>
          <w:divBdr>
            <w:top w:val="none" w:sz="0" w:space="0" w:color="auto"/>
            <w:left w:val="none" w:sz="0" w:space="0" w:color="auto"/>
            <w:bottom w:val="none" w:sz="0" w:space="0" w:color="auto"/>
            <w:right w:val="none" w:sz="0" w:space="0" w:color="auto"/>
          </w:divBdr>
        </w:div>
        <w:div w:id="1057824163">
          <w:marLeft w:val="0"/>
          <w:marRight w:val="0"/>
          <w:marTop w:val="0"/>
          <w:marBottom w:val="0"/>
          <w:divBdr>
            <w:top w:val="none" w:sz="0" w:space="0" w:color="auto"/>
            <w:left w:val="none" w:sz="0" w:space="0" w:color="auto"/>
            <w:bottom w:val="none" w:sz="0" w:space="0" w:color="auto"/>
            <w:right w:val="none" w:sz="0" w:space="0" w:color="auto"/>
          </w:divBdr>
        </w:div>
        <w:div w:id="432555862">
          <w:marLeft w:val="0"/>
          <w:marRight w:val="0"/>
          <w:marTop w:val="0"/>
          <w:marBottom w:val="0"/>
          <w:divBdr>
            <w:top w:val="none" w:sz="0" w:space="0" w:color="auto"/>
            <w:left w:val="none" w:sz="0" w:space="0" w:color="auto"/>
            <w:bottom w:val="none" w:sz="0" w:space="0" w:color="auto"/>
            <w:right w:val="none" w:sz="0" w:space="0" w:color="auto"/>
          </w:divBdr>
        </w:div>
        <w:div w:id="1432355335">
          <w:marLeft w:val="0"/>
          <w:marRight w:val="0"/>
          <w:marTop w:val="0"/>
          <w:marBottom w:val="0"/>
          <w:divBdr>
            <w:top w:val="none" w:sz="0" w:space="0" w:color="auto"/>
            <w:left w:val="none" w:sz="0" w:space="0" w:color="auto"/>
            <w:bottom w:val="none" w:sz="0" w:space="0" w:color="auto"/>
            <w:right w:val="none" w:sz="0" w:space="0" w:color="auto"/>
          </w:divBdr>
        </w:div>
        <w:div w:id="1013218067">
          <w:marLeft w:val="0"/>
          <w:marRight w:val="0"/>
          <w:marTop w:val="0"/>
          <w:marBottom w:val="0"/>
          <w:divBdr>
            <w:top w:val="none" w:sz="0" w:space="0" w:color="auto"/>
            <w:left w:val="none" w:sz="0" w:space="0" w:color="auto"/>
            <w:bottom w:val="none" w:sz="0" w:space="0" w:color="auto"/>
            <w:right w:val="none" w:sz="0" w:space="0" w:color="auto"/>
          </w:divBdr>
        </w:div>
        <w:div w:id="699815162">
          <w:marLeft w:val="0"/>
          <w:marRight w:val="0"/>
          <w:marTop w:val="0"/>
          <w:marBottom w:val="0"/>
          <w:divBdr>
            <w:top w:val="none" w:sz="0" w:space="0" w:color="auto"/>
            <w:left w:val="none" w:sz="0" w:space="0" w:color="auto"/>
            <w:bottom w:val="none" w:sz="0" w:space="0" w:color="auto"/>
            <w:right w:val="none" w:sz="0" w:space="0" w:color="auto"/>
          </w:divBdr>
        </w:div>
        <w:div w:id="753207305">
          <w:marLeft w:val="0"/>
          <w:marRight w:val="0"/>
          <w:marTop w:val="0"/>
          <w:marBottom w:val="0"/>
          <w:divBdr>
            <w:top w:val="none" w:sz="0" w:space="0" w:color="auto"/>
            <w:left w:val="none" w:sz="0" w:space="0" w:color="auto"/>
            <w:bottom w:val="none" w:sz="0" w:space="0" w:color="auto"/>
            <w:right w:val="none" w:sz="0" w:space="0" w:color="auto"/>
          </w:divBdr>
        </w:div>
        <w:div w:id="1092629020">
          <w:marLeft w:val="0"/>
          <w:marRight w:val="0"/>
          <w:marTop w:val="0"/>
          <w:marBottom w:val="0"/>
          <w:divBdr>
            <w:top w:val="none" w:sz="0" w:space="0" w:color="auto"/>
            <w:left w:val="none" w:sz="0" w:space="0" w:color="auto"/>
            <w:bottom w:val="none" w:sz="0" w:space="0" w:color="auto"/>
            <w:right w:val="none" w:sz="0" w:space="0" w:color="auto"/>
          </w:divBdr>
        </w:div>
        <w:div w:id="1857421558">
          <w:marLeft w:val="0"/>
          <w:marRight w:val="0"/>
          <w:marTop w:val="0"/>
          <w:marBottom w:val="0"/>
          <w:divBdr>
            <w:top w:val="none" w:sz="0" w:space="0" w:color="auto"/>
            <w:left w:val="none" w:sz="0" w:space="0" w:color="auto"/>
            <w:bottom w:val="none" w:sz="0" w:space="0" w:color="auto"/>
            <w:right w:val="none" w:sz="0" w:space="0" w:color="auto"/>
          </w:divBdr>
        </w:div>
        <w:div w:id="1570651487">
          <w:marLeft w:val="0"/>
          <w:marRight w:val="0"/>
          <w:marTop w:val="0"/>
          <w:marBottom w:val="0"/>
          <w:divBdr>
            <w:top w:val="none" w:sz="0" w:space="0" w:color="auto"/>
            <w:left w:val="none" w:sz="0" w:space="0" w:color="auto"/>
            <w:bottom w:val="none" w:sz="0" w:space="0" w:color="auto"/>
            <w:right w:val="none" w:sz="0" w:space="0" w:color="auto"/>
          </w:divBdr>
        </w:div>
        <w:div w:id="2118674030">
          <w:marLeft w:val="0"/>
          <w:marRight w:val="0"/>
          <w:marTop w:val="0"/>
          <w:marBottom w:val="0"/>
          <w:divBdr>
            <w:top w:val="none" w:sz="0" w:space="0" w:color="auto"/>
            <w:left w:val="none" w:sz="0" w:space="0" w:color="auto"/>
            <w:bottom w:val="none" w:sz="0" w:space="0" w:color="auto"/>
            <w:right w:val="none" w:sz="0" w:space="0" w:color="auto"/>
          </w:divBdr>
        </w:div>
        <w:div w:id="495196047">
          <w:marLeft w:val="0"/>
          <w:marRight w:val="0"/>
          <w:marTop w:val="0"/>
          <w:marBottom w:val="0"/>
          <w:divBdr>
            <w:top w:val="none" w:sz="0" w:space="0" w:color="auto"/>
            <w:left w:val="none" w:sz="0" w:space="0" w:color="auto"/>
            <w:bottom w:val="none" w:sz="0" w:space="0" w:color="auto"/>
            <w:right w:val="none" w:sz="0" w:space="0" w:color="auto"/>
          </w:divBdr>
        </w:div>
        <w:div w:id="1251889673">
          <w:marLeft w:val="0"/>
          <w:marRight w:val="0"/>
          <w:marTop w:val="0"/>
          <w:marBottom w:val="0"/>
          <w:divBdr>
            <w:top w:val="none" w:sz="0" w:space="0" w:color="auto"/>
            <w:left w:val="none" w:sz="0" w:space="0" w:color="auto"/>
            <w:bottom w:val="none" w:sz="0" w:space="0" w:color="auto"/>
            <w:right w:val="none" w:sz="0" w:space="0" w:color="auto"/>
          </w:divBdr>
        </w:div>
        <w:div w:id="1431241072">
          <w:marLeft w:val="0"/>
          <w:marRight w:val="0"/>
          <w:marTop w:val="0"/>
          <w:marBottom w:val="0"/>
          <w:divBdr>
            <w:top w:val="none" w:sz="0" w:space="0" w:color="auto"/>
            <w:left w:val="none" w:sz="0" w:space="0" w:color="auto"/>
            <w:bottom w:val="none" w:sz="0" w:space="0" w:color="auto"/>
            <w:right w:val="none" w:sz="0" w:space="0" w:color="auto"/>
          </w:divBdr>
        </w:div>
        <w:div w:id="461849701">
          <w:marLeft w:val="0"/>
          <w:marRight w:val="0"/>
          <w:marTop w:val="0"/>
          <w:marBottom w:val="0"/>
          <w:divBdr>
            <w:top w:val="none" w:sz="0" w:space="0" w:color="auto"/>
            <w:left w:val="none" w:sz="0" w:space="0" w:color="auto"/>
            <w:bottom w:val="none" w:sz="0" w:space="0" w:color="auto"/>
            <w:right w:val="none" w:sz="0" w:space="0" w:color="auto"/>
          </w:divBdr>
        </w:div>
        <w:div w:id="1770538978">
          <w:marLeft w:val="0"/>
          <w:marRight w:val="0"/>
          <w:marTop w:val="0"/>
          <w:marBottom w:val="0"/>
          <w:divBdr>
            <w:top w:val="none" w:sz="0" w:space="0" w:color="auto"/>
            <w:left w:val="none" w:sz="0" w:space="0" w:color="auto"/>
            <w:bottom w:val="none" w:sz="0" w:space="0" w:color="auto"/>
            <w:right w:val="none" w:sz="0" w:space="0" w:color="auto"/>
          </w:divBdr>
        </w:div>
        <w:div w:id="975335052">
          <w:marLeft w:val="0"/>
          <w:marRight w:val="0"/>
          <w:marTop w:val="0"/>
          <w:marBottom w:val="0"/>
          <w:divBdr>
            <w:top w:val="none" w:sz="0" w:space="0" w:color="auto"/>
            <w:left w:val="none" w:sz="0" w:space="0" w:color="auto"/>
            <w:bottom w:val="none" w:sz="0" w:space="0" w:color="auto"/>
            <w:right w:val="none" w:sz="0" w:space="0" w:color="auto"/>
          </w:divBdr>
        </w:div>
        <w:div w:id="643660528">
          <w:marLeft w:val="0"/>
          <w:marRight w:val="0"/>
          <w:marTop w:val="0"/>
          <w:marBottom w:val="0"/>
          <w:divBdr>
            <w:top w:val="none" w:sz="0" w:space="0" w:color="auto"/>
            <w:left w:val="none" w:sz="0" w:space="0" w:color="auto"/>
            <w:bottom w:val="none" w:sz="0" w:space="0" w:color="auto"/>
            <w:right w:val="none" w:sz="0" w:space="0" w:color="auto"/>
          </w:divBdr>
        </w:div>
        <w:div w:id="1770854479">
          <w:marLeft w:val="0"/>
          <w:marRight w:val="0"/>
          <w:marTop w:val="0"/>
          <w:marBottom w:val="0"/>
          <w:divBdr>
            <w:top w:val="none" w:sz="0" w:space="0" w:color="auto"/>
            <w:left w:val="none" w:sz="0" w:space="0" w:color="auto"/>
            <w:bottom w:val="none" w:sz="0" w:space="0" w:color="auto"/>
            <w:right w:val="none" w:sz="0" w:space="0" w:color="auto"/>
          </w:divBdr>
        </w:div>
        <w:div w:id="319965962">
          <w:marLeft w:val="0"/>
          <w:marRight w:val="0"/>
          <w:marTop w:val="0"/>
          <w:marBottom w:val="0"/>
          <w:divBdr>
            <w:top w:val="none" w:sz="0" w:space="0" w:color="auto"/>
            <w:left w:val="none" w:sz="0" w:space="0" w:color="auto"/>
            <w:bottom w:val="none" w:sz="0" w:space="0" w:color="auto"/>
            <w:right w:val="none" w:sz="0" w:space="0" w:color="auto"/>
          </w:divBdr>
        </w:div>
        <w:div w:id="1412385125">
          <w:marLeft w:val="0"/>
          <w:marRight w:val="0"/>
          <w:marTop w:val="0"/>
          <w:marBottom w:val="0"/>
          <w:divBdr>
            <w:top w:val="none" w:sz="0" w:space="0" w:color="auto"/>
            <w:left w:val="none" w:sz="0" w:space="0" w:color="auto"/>
            <w:bottom w:val="none" w:sz="0" w:space="0" w:color="auto"/>
            <w:right w:val="none" w:sz="0" w:space="0" w:color="auto"/>
          </w:divBdr>
        </w:div>
        <w:div w:id="1301426150">
          <w:marLeft w:val="0"/>
          <w:marRight w:val="0"/>
          <w:marTop w:val="0"/>
          <w:marBottom w:val="0"/>
          <w:divBdr>
            <w:top w:val="none" w:sz="0" w:space="0" w:color="auto"/>
            <w:left w:val="none" w:sz="0" w:space="0" w:color="auto"/>
            <w:bottom w:val="none" w:sz="0" w:space="0" w:color="auto"/>
            <w:right w:val="none" w:sz="0" w:space="0" w:color="auto"/>
          </w:divBdr>
        </w:div>
        <w:div w:id="716441424">
          <w:marLeft w:val="0"/>
          <w:marRight w:val="0"/>
          <w:marTop w:val="0"/>
          <w:marBottom w:val="0"/>
          <w:divBdr>
            <w:top w:val="none" w:sz="0" w:space="0" w:color="auto"/>
            <w:left w:val="none" w:sz="0" w:space="0" w:color="auto"/>
            <w:bottom w:val="none" w:sz="0" w:space="0" w:color="auto"/>
            <w:right w:val="none" w:sz="0" w:space="0" w:color="auto"/>
          </w:divBdr>
        </w:div>
        <w:div w:id="180627208">
          <w:marLeft w:val="0"/>
          <w:marRight w:val="0"/>
          <w:marTop w:val="0"/>
          <w:marBottom w:val="0"/>
          <w:divBdr>
            <w:top w:val="none" w:sz="0" w:space="0" w:color="auto"/>
            <w:left w:val="none" w:sz="0" w:space="0" w:color="auto"/>
            <w:bottom w:val="none" w:sz="0" w:space="0" w:color="auto"/>
            <w:right w:val="none" w:sz="0" w:space="0" w:color="auto"/>
          </w:divBdr>
        </w:div>
        <w:div w:id="1631470958">
          <w:marLeft w:val="0"/>
          <w:marRight w:val="0"/>
          <w:marTop w:val="0"/>
          <w:marBottom w:val="0"/>
          <w:divBdr>
            <w:top w:val="none" w:sz="0" w:space="0" w:color="auto"/>
            <w:left w:val="none" w:sz="0" w:space="0" w:color="auto"/>
            <w:bottom w:val="none" w:sz="0" w:space="0" w:color="auto"/>
            <w:right w:val="none" w:sz="0" w:space="0" w:color="auto"/>
          </w:divBdr>
        </w:div>
        <w:div w:id="952633979">
          <w:marLeft w:val="0"/>
          <w:marRight w:val="0"/>
          <w:marTop w:val="0"/>
          <w:marBottom w:val="0"/>
          <w:divBdr>
            <w:top w:val="none" w:sz="0" w:space="0" w:color="auto"/>
            <w:left w:val="none" w:sz="0" w:space="0" w:color="auto"/>
            <w:bottom w:val="none" w:sz="0" w:space="0" w:color="auto"/>
            <w:right w:val="none" w:sz="0" w:space="0" w:color="auto"/>
          </w:divBdr>
        </w:div>
        <w:div w:id="190264351">
          <w:marLeft w:val="0"/>
          <w:marRight w:val="0"/>
          <w:marTop w:val="0"/>
          <w:marBottom w:val="0"/>
          <w:divBdr>
            <w:top w:val="none" w:sz="0" w:space="0" w:color="auto"/>
            <w:left w:val="none" w:sz="0" w:space="0" w:color="auto"/>
            <w:bottom w:val="none" w:sz="0" w:space="0" w:color="auto"/>
            <w:right w:val="none" w:sz="0" w:space="0" w:color="auto"/>
          </w:divBdr>
        </w:div>
        <w:div w:id="561722269">
          <w:marLeft w:val="0"/>
          <w:marRight w:val="0"/>
          <w:marTop w:val="0"/>
          <w:marBottom w:val="0"/>
          <w:divBdr>
            <w:top w:val="none" w:sz="0" w:space="0" w:color="auto"/>
            <w:left w:val="none" w:sz="0" w:space="0" w:color="auto"/>
            <w:bottom w:val="none" w:sz="0" w:space="0" w:color="auto"/>
            <w:right w:val="none" w:sz="0" w:space="0" w:color="auto"/>
          </w:divBdr>
        </w:div>
        <w:div w:id="731347253">
          <w:marLeft w:val="0"/>
          <w:marRight w:val="0"/>
          <w:marTop w:val="0"/>
          <w:marBottom w:val="0"/>
          <w:divBdr>
            <w:top w:val="none" w:sz="0" w:space="0" w:color="auto"/>
            <w:left w:val="none" w:sz="0" w:space="0" w:color="auto"/>
            <w:bottom w:val="none" w:sz="0" w:space="0" w:color="auto"/>
            <w:right w:val="none" w:sz="0" w:space="0" w:color="auto"/>
          </w:divBdr>
        </w:div>
        <w:div w:id="511993315">
          <w:marLeft w:val="0"/>
          <w:marRight w:val="0"/>
          <w:marTop w:val="0"/>
          <w:marBottom w:val="0"/>
          <w:divBdr>
            <w:top w:val="none" w:sz="0" w:space="0" w:color="auto"/>
            <w:left w:val="none" w:sz="0" w:space="0" w:color="auto"/>
            <w:bottom w:val="none" w:sz="0" w:space="0" w:color="auto"/>
            <w:right w:val="none" w:sz="0" w:space="0" w:color="auto"/>
          </w:divBdr>
        </w:div>
      </w:divsChild>
    </w:div>
    <w:div w:id="1403286452">
      <w:bodyDiv w:val="1"/>
      <w:marLeft w:val="0"/>
      <w:marRight w:val="0"/>
      <w:marTop w:val="0"/>
      <w:marBottom w:val="0"/>
      <w:divBdr>
        <w:top w:val="none" w:sz="0" w:space="0" w:color="auto"/>
        <w:left w:val="none" w:sz="0" w:space="0" w:color="auto"/>
        <w:bottom w:val="none" w:sz="0" w:space="0" w:color="auto"/>
        <w:right w:val="none" w:sz="0" w:space="0" w:color="auto"/>
      </w:divBdr>
    </w:div>
    <w:div w:id="1416243381">
      <w:bodyDiv w:val="1"/>
      <w:marLeft w:val="0"/>
      <w:marRight w:val="0"/>
      <w:marTop w:val="0"/>
      <w:marBottom w:val="0"/>
      <w:divBdr>
        <w:top w:val="none" w:sz="0" w:space="0" w:color="auto"/>
        <w:left w:val="none" w:sz="0" w:space="0" w:color="auto"/>
        <w:bottom w:val="none" w:sz="0" w:space="0" w:color="auto"/>
        <w:right w:val="none" w:sz="0" w:space="0" w:color="auto"/>
      </w:divBdr>
    </w:div>
    <w:div w:id="1600942431">
      <w:bodyDiv w:val="1"/>
      <w:marLeft w:val="0"/>
      <w:marRight w:val="0"/>
      <w:marTop w:val="0"/>
      <w:marBottom w:val="0"/>
      <w:divBdr>
        <w:top w:val="none" w:sz="0" w:space="0" w:color="auto"/>
        <w:left w:val="none" w:sz="0" w:space="0" w:color="auto"/>
        <w:bottom w:val="none" w:sz="0" w:space="0" w:color="auto"/>
        <w:right w:val="none" w:sz="0" w:space="0" w:color="auto"/>
      </w:divBdr>
    </w:div>
    <w:div w:id="1604411896">
      <w:bodyDiv w:val="1"/>
      <w:marLeft w:val="0"/>
      <w:marRight w:val="0"/>
      <w:marTop w:val="0"/>
      <w:marBottom w:val="0"/>
      <w:divBdr>
        <w:top w:val="none" w:sz="0" w:space="0" w:color="auto"/>
        <w:left w:val="none" w:sz="0" w:space="0" w:color="auto"/>
        <w:bottom w:val="none" w:sz="0" w:space="0" w:color="auto"/>
        <w:right w:val="none" w:sz="0" w:space="0" w:color="auto"/>
      </w:divBdr>
    </w:div>
    <w:div w:id="1822884465">
      <w:bodyDiv w:val="1"/>
      <w:marLeft w:val="0"/>
      <w:marRight w:val="0"/>
      <w:marTop w:val="0"/>
      <w:marBottom w:val="0"/>
      <w:divBdr>
        <w:top w:val="none" w:sz="0" w:space="0" w:color="auto"/>
        <w:left w:val="none" w:sz="0" w:space="0" w:color="auto"/>
        <w:bottom w:val="none" w:sz="0" w:space="0" w:color="auto"/>
        <w:right w:val="none" w:sz="0" w:space="0" w:color="auto"/>
      </w:divBdr>
    </w:div>
    <w:div w:id="1959019984">
      <w:bodyDiv w:val="1"/>
      <w:marLeft w:val="0"/>
      <w:marRight w:val="0"/>
      <w:marTop w:val="0"/>
      <w:marBottom w:val="0"/>
      <w:divBdr>
        <w:top w:val="none" w:sz="0" w:space="0" w:color="auto"/>
        <w:left w:val="none" w:sz="0" w:space="0" w:color="auto"/>
        <w:bottom w:val="none" w:sz="0" w:space="0" w:color="auto"/>
        <w:right w:val="none" w:sz="0" w:space="0" w:color="auto"/>
      </w:divBdr>
    </w:div>
    <w:div w:id="2021392952">
      <w:bodyDiv w:val="1"/>
      <w:marLeft w:val="0"/>
      <w:marRight w:val="0"/>
      <w:marTop w:val="0"/>
      <w:marBottom w:val="0"/>
      <w:divBdr>
        <w:top w:val="none" w:sz="0" w:space="0" w:color="auto"/>
        <w:left w:val="none" w:sz="0" w:space="0" w:color="auto"/>
        <w:bottom w:val="none" w:sz="0" w:space="0" w:color="auto"/>
        <w:right w:val="none" w:sz="0" w:space="0" w:color="auto"/>
      </w:divBdr>
    </w:div>
    <w:div w:id="2033874119">
      <w:bodyDiv w:val="1"/>
      <w:marLeft w:val="0"/>
      <w:marRight w:val="0"/>
      <w:marTop w:val="0"/>
      <w:marBottom w:val="0"/>
      <w:divBdr>
        <w:top w:val="none" w:sz="0" w:space="0" w:color="auto"/>
        <w:left w:val="none" w:sz="0" w:space="0" w:color="auto"/>
        <w:bottom w:val="none" w:sz="0" w:space="0" w:color="auto"/>
        <w:right w:val="none" w:sz="0" w:space="0" w:color="auto"/>
      </w:divBdr>
    </w:div>
    <w:div w:id="2143888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lockyer\AppData\Roaming\Microsoft\Excel\Book1%20(version%201).xlsb"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UK - C-19 deployment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Sheet2!$B$10</c:f>
              <c:strCache>
                <c:ptCount val="1"/>
                <c:pt idx="0">
                  <c:v>Days</c:v>
                </c:pt>
              </c:strCache>
            </c:strRef>
          </c:tx>
          <c:spPr>
            <a:solidFill>
              <a:schemeClr val="accent1"/>
            </a:solidFill>
            <a:ln>
              <a:noFill/>
            </a:ln>
            <a:effectLst/>
          </c:spPr>
          <c:invertIfNegative val="0"/>
          <c:cat>
            <c:strRef>
              <c:f>Sheet2!$C$9:$K$9</c:f>
              <c:strCache>
                <c:ptCount val="9"/>
                <c:pt idx="0">
                  <c:v>JAN</c:v>
                </c:pt>
                <c:pt idx="1">
                  <c:v>FEB</c:v>
                </c:pt>
                <c:pt idx="2">
                  <c:v>MAR</c:v>
                </c:pt>
                <c:pt idx="3">
                  <c:v>APR</c:v>
                </c:pt>
                <c:pt idx="4">
                  <c:v>MAY</c:v>
                </c:pt>
                <c:pt idx="5">
                  <c:v>JUN</c:v>
                </c:pt>
                <c:pt idx="6">
                  <c:v>JUL</c:v>
                </c:pt>
                <c:pt idx="7">
                  <c:v>AUG</c:v>
                </c:pt>
                <c:pt idx="8">
                  <c:v>SEP</c:v>
                </c:pt>
              </c:strCache>
            </c:strRef>
          </c:cat>
          <c:val>
            <c:numRef>
              <c:f>Sheet2!$C$10:$K$10</c:f>
            </c:numRef>
          </c:val>
          <c:extLst>
            <c:ext xmlns:c16="http://schemas.microsoft.com/office/drawing/2014/chart" uri="{C3380CC4-5D6E-409C-BE32-E72D297353CC}">
              <c16:uniqueId val="{00000000-60BE-450E-B61B-259349CF0D1A}"/>
            </c:ext>
          </c:extLst>
        </c:ser>
        <c:dLbls>
          <c:showLegendKey val="0"/>
          <c:showVal val="0"/>
          <c:showCatName val="0"/>
          <c:showSerName val="0"/>
          <c:showPercent val="0"/>
          <c:showBubbleSize val="0"/>
        </c:dLbls>
        <c:gapWidth val="219"/>
        <c:overlap val="-27"/>
        <c:axId val="757708456"/>
        <c:axId val="757712064"/>
      </c:barChart>
      <c:barChart>
        <c:barDir val="col"/>
        <c:grouping val="stacked"/>
        <c:varyColors val="0"/>
        <c:ser>
          <c:idx val="1"/>
          <c:order val="1"/>
          <c:tx>
            <c:strRef>
              <c:f>Sheet2!$B$11</c:f>
              <c:strCache>
                <c:ptCount val="1"/>
                <c:pt idx="0">
                  <c:v>Daily Jabs</c:v>
                </c:pt>
              </c:strCache>
            </c:strRef>
          </c:tx>
          <c:spPr>
            <a:solidFill>
              <a:schemeClr val="accent2"/>
            </a:solidFill>
            <a:ln>
              <a:noFill/>
            </a:ln>
            <a:effectLst/>
          </c:spPr>
          <c:invertIfNegative val="0"/>
          <c:cat>
            <c:strRef>
              <c:f>Sheet2!$C$9:$K$9</c:f>
              <c:strCache>
                <c:ptCount val="9"/>
                <c:pt idx="0">
                  <c:v>JAN</c:v>
                </c:pt>
                <c:pt idx="1">
                  <c:v>FEB</c:v>
                </c:pt>
                <c:pt idx="2">
                  <c:v>MAR</c:v>
                </c:pt>
                <c:pt idx="3">
                  <c:v>APR</c:v>
                </c:pt>
                <c:pt idx="4">
                  <c:v>MAY</c:v>
                </c:pt>
                <c:pt idx="5">
                  <c:v>JUN</c:v>
                </c:pt>
                <c:pt idx="6">
                  <c:v>JUL</c:v>
                </c:pt>
                <c:pt idx="7">
                  <c:v>AUG</c:v>
                </c:pt>
                <c:pt idx="8">
                  <c:v>SEP</c:v>
                </c:pt>
              </c:strCache>
            </c:strRef>
          </c:cat>
          <c:val>
            <c:numRef>
              <c:f>Sheet2!$C$11:$K$11</c:f>
              <c:numCache>
                <c:formatCode>#,##0</c:formatCode>
                <c:ptCount val="9"/>
                <c:pt idx="0">
                  <c:v>300000</c:v>
                </c:pt>
                <c:pt idx="1">
                  <c:v>469000</c:v>
                </c:pt>
                <c:pt idx="2">
                  <c:v>500000</c:v>
                </c:pt>
                <c:pt idx="3">
                  <c:v>550000</c:v>
                </c:pt>
                <c:pt idx="4">
                  <c:v>500000</c:v>
                </c:pt>
                <c:pt idx="5">
                  <c:v>500000</c:v>
                </c:pt>
                <c:pt idx="6">
                  <c:v>400000</c:v>
                </c:pt>
                <c:pt idx="7">
                  <c:v>400000</c:v>
                </c:pt>
                <c:pt idx="8">
                  <c:v>400000</c:v>
                </c:pt>
              </c:numCache>
            </c:numRef>
          </c:val>
          <c:extLst>
            <c:ext xmlns:c16="http://schemas.microsoft.com/office/drawing/2014/chart" uri="{C3380CC4-5D6E-409C-BE32-E72D297353CC}">
              <c16:uniqueId val="{00000001-60BE-450E-B61B-259349CF0D1A}"/>
            </c:ext>
          </c:extLst>
        </c:ser>
        <c:ser>
          <c:idx val="2"/>
          <c:order val="2"/>
          <c:tx>
            <c:strRef>
              <c:f>Sheet2!$B$12</c:f>
              <c:strCache>
                <c:ptCount val="1"/>
                <c:pt idx="0">
                  <c:v>Monthly Jabs</c:v>
                </c:pt>
              </c:strCache>
            </c:strRef>
          </c:tx>
          <c:spPr>
            <a:solidFill>
              <a:schemeClr val="accent3"/>
            </a:solidFill>
            <a:ln>
              <a:noFill/>
            </a:ln>
            <a:effectLst/>
          </c:spPr>
          <c:invertIfNegative val="0"/>
          <c:cat>
            <c:strRef>
              <c:f>Sheet2!$C$9:$K$9</c:f>
              <c:strCache>
                <c:ptCount val="9"/>
                <c:pt idx="0">
                  <c:v>JAN</c:v>
                </c:pt>
                <c:pt idx="1">
                  <c:v>FEB</c:v>
                </c:pt>
                <c:pt idx="2">
                  <c:v>MAR</c:v>
                </c:pt>
                <c:pt idx="3">
                  <c:v>APR</c:v>
                </c:pt>
                <c:pt idx="4">
                  <c:v>MAY</c:v>
                </c:pt>
                <c:pt idx="5">
                  <c:v>JUN</c:v>
                </c:pt>
                <c:pt idx="6">
                  <c:v>JUL</c:v>
                </c:pt>
                <c:pt idx="7">
                  <c:v>AUG</c:v>
                </c:pt>
                <c:pt idx="8">
                  <c:v>SEP</c:v>
                </c:pt>
              </c:strCache>
            </c:strRef>
          </c:cat>
          <c:val>
            <c:numRef>
              <c:f>Sheet2!$C$12:$K$12</c:f>
              <c:numCache>
                <c:formatCode>#,##0</c:formatCode>
                <c:ptCount val="9"/>
                <c:pt idx="0">
                  <c:v>9300000</c:v>
                </c:pt>
                <c:pt idx="1">
                  <c:v>13132000</c:v>
                </c:pt>
                <c:pt idx="2">
                  <c:v>15500000</c:v>
                </c:pt>
                <c:pt idx="3">
                  <c:v>16500000</c:v>
                </c:pt>
                <c:pt idx="4">
                  <c:v>15500000</c:v>
                </c:pt>
                <c:pt idx="5">
                  <c:v>15000000</c:v>
                </c:pt>
                <c:pt idx="6">
                  <c:v>12400000</c:v>
                </c:pt>
                <c:pt idx="7">
                  <c:v>12400000</c:v>
                </c:pt>
                <c:pt idx="8">
                  <c:v>12000000</c:v>
                </c:pt>
              </c:numCache>
            </c:numRef>
          </c:val>
          <c:extLst>
            <c:ext xmlns:c16="http://schemas.microsoft.com/office/drawing/2014/chart" uri="{C3380CC4-5D6E-409C-BE32-E72D297353CC}">
              <c16:uniqueId val="{00000002-60BE-450E-B61B-259349CF0D1A}"/>
            </c:ext>
          </c:extLst>
        </c:ser>
        <c:ser>
          <c:idx val="3"/>
          <c:order val="3"/>
          <c:tx>
            <c:strRef>
              <c:f>Sheet2!$B$13</c:f>
              <c:strCache>
                <c:ptCount val="1"/>
                <c:pt idx="0">
                  <c:v>First Jab</c:v>
                </c:pt>
              </c:strCache>
            </c:strRef>
          </c:tx>
          <c:spPr>
            <a:solidFill>
              <a:schemeClr val="accent4"/>
            </a:solidFill>
            <a:ln>
              <a:noFill/>
            </a:ln>
            <a:effectLst/>
          </c:spPr>
          <c:invertIfNegative val="0"/>
          <c:cat>
            <c:strRef>
              <c:f>Sheet2!$C$9:$K$9</c:f>
              <c:strCache>
                <c:ptCount val="9"/>
                <c:pt idx="0">
                  <c:v>JAN</c:v>
                </c:pt>
                <c:pt idx="1">
                  <c:v>FEB</c:v>
                </c:pt>
                <c:pt idx="2">
                  <c:v>MAR</c:v>
                </c:pt>
                <c:pt idx="3">
                  <c:v>APR</c:v>
                </c:pt>
                <c:pt idx="4">
                  <c:v>MAY</c:v>
                </c:pt>
                <c:pt idx="5">
                  <c:v>JUN</c:v>
                </c:pt>
                <c:pt idx="6">
                  <c:v>JUL</c:v>
                </c:pt>
                <c:pt idx="7">
                  <c:v>AUG</c:v>
                </c:pt>
                <c:pt idx="8">
                  <c:v>SEP</c:v>
                </c:pt>
              </c:strCache>
            </c:strRef>
          </c:cat>
          <c:val>
            <c:numRef>
              <c:f>Sheet2!$C$13:$K$13</c:f>
              <c:numCache>
                <c:formatCode>#,##0</c:formatCode>
                <c:ptCount val="9"/>
                <c:pt idx="0">
                  <c:v>8900000</c:v>
                </c:pt>
                <c:pt idx="1">
                  <c:v>13132000</c:v>
                </c:pt>
                <c:pt idx="2">
                  <c:v>6600000</c:v>
                </c:pt>
                <c:pt idx="3">
                  <c:v>3368000</c:v>
                </c:pt>
                <c:pt idx="4">
                  <c:v>8900000</c:v>
                </c:pt>
                <c:pt idx="5">
                  <c:v>11632000</c:v>
                </c:pt>
                <c:pt idx="6">
                  <c:v>3500000</c:v>
                </c:pt>
                <c:pt idx="7">
                  <c:v>768000</c:v>
                </c:pt>
                <c:pt idx="8">
                  <c:v>8500000</c:v>
                </c:pt>
              </c:numCache>
            </c:numRef>
          </c:val>
          <c:extLst>
            <c:ext xmlns:c16="http://schemas.microsoft.com/office/drawing/2014/chart" uri="{C3380CC4-5D6E-409C-BE32-E72D297353CC}">
              <c16:uniqueId val="{00000003-60BE-450E-B61B-259349CF0D1A}"/>
            </c:ext>
          </c:extLst>
        </c:ser>
        <c:dLbls>
          <c:showLegendKey val="0"/>
          <c:showVal val="0"/>
          <c:showCatName val="0"/>
          <c:showSerName val="0"/>
          <c:showPercent val="0"/>
          <c:showBubbleSize val="0"/>
        </c:dLbls>
        <c:gapWidth val="219"/>
        <c:overlap val="100"/>
        <c:axId val="757708456"/>
        <c:axId val="757712064"/>
      </c:barChart>
      <c:lineChart>
        <c:grouping val="standard"/>
        <c:varyColors val="0"/>
        <c:ser>
          <c:idx val="4"/>
          <c:order val="4"/>
          <c:tx>
            <c:strRef>
              <c:f>Sheet2!$B$14</c:f>
              <c:strCache>
                <c:ptCount val="1"/>
                <c:pt idx="0">
                  <c:v>First Jab population</c:v>
                </c:pt>
              </c:strCache>
            </c:strRef>
          </c:tx>
          <c:spPr>
            <a:ln w="28575" cap="rnd">
              <a:solidFill>
                <a:schemeClr val="accent5"/>
              </a:solidFill>
              <a:round/>
            </a:ln>
            <a:effectLst/>
          </c:spPr>
          <c:marker>
            <c:symbol val="none"/>
          </c:marker>
          <c:cat>
            <c:strRef>
              <c:f>Sheet2!$C$9:$K$9</c:f>
              <c:strCache>
                <c:ptCount val="9"/>
                <c:pt idx="0">
                  <c:v>JAN</c:v>
                </c:pt>
                <c:pt idx="1">
                  <c:v>FEB</c:v>
                </c:pt>
                <c:pt idx="2">
                  <c:v>MAR</c:v>
                </c:pt>
                <c:pt idx="3">
                  <c:v>APR</c:v>
                </c:pt>
                <c:pt idx="4">
                  <c:v>MAY</c:v>
                </c:pt>
                <c:pt idx="5">
                  <c:v>JUN</c:v>
                </c:pt>
                <c:pt idx="6">
                  <c:v>JUL</c:v>
                </c:pt>
                <c:pt idx="7">
                  <c:v>AUG</c:v>
                </c:pt>
                <c:pt idx="8">
                  <c:v>SEP</c:v>
                </c:pt>
              </c:strCache>
            </c:strRef>
          </c:cat>
          <c:val>
            <c:numRef>
              <c:f>Sheet2!$C$14:$K$14</c:f>
              <c:numCache>
                <c:formatCode>#,##0</c:formatCode>
                <c:ptCount val="9"/>
                <c:pt idx="0">
                  <c:v>8900000</c:v>
                </c:pt>
                <c:pt idx="1">
                  <c:v>22032000</c:v>
                </c:pt>
                <c:pt idx="2">
                  <c:v>28632000</c:v>
                </c:pt>
                <c:pt idx="3">
                  <c:v>32000000</c:v>
                </c:pt>
                <c:pt idx="4">
                  <c:v>40900000</c:v>
                </c:pt>
                <c:pt idx="5">
                  <c:v>52532000</c:v>
                </c:pt>
                <c:pt idx="6">
                  <c:v>56032000</c:v>
                </c:pt>
                <c:pt idx="7">
                  <c:v>56800000</c:v>
                </c:pt>
                <c:pt idx="8">
                  <c:v>65300000</c:v>
                </c:pt>
              </c:numCache>
            </c:numRef>
          </c:val>
          <c:smooth val="0"/>
          <c:extLst>
            <c:ext xmlns:c16="http://schemas.microsoft.com/office/drawing/2014/chart" uri="{C3380CC4-5D6E-409C-BE32-E72D297353CC}">
              <c16:uniqueId val="{00000004-60BE-450E-B61B-259349CF0D1A}"/>
            </c:ext>
          </c:extLst>
        </c:ser>
        <c:ser>
          <c:idx val="5"/>
          <c:order val="5"/>
          <c:tx>
            <c:strRef>
              <c:f>Sheet2!$B$15</c:f>
              <c:strCache>
                <c:ptCount val="1"/>
                <c:pt idx="0">
                  <c:v>Booster Jab</c:v>
                </c:pt>
              </c:strCache>
            </c:strRef>
          </c:tx>
          <c:spPr>
            <a:ln w="28575" cap="rnd">
              <a:solidFill>
                <a:schemeClr val="accent6"/>
              </a:solidFill>
              <a:round/>
            </a:ln>
            <a:effectLst/>
          </c:spPr>
          <c:marker>
            <c:symbol val="none"/>
          </c:marker>
          <c:cat>
            <c:strRef>
              <c:f>Sheet2!$C$9:$K$9</c:f>
              <c:strCache>
                <c:ptCount val="9"/>
                <c:pt idx="0">
                  <c:v>JAN</c:v>
                </c:pt>
                <c:pt idx="1">
                  <c:v>FEB</c:v>
                </c:pt>
                <c:pt idx="2">
                  <c:v>MAR</c:v>
                </c:pt>
                <c:pt idx="3">
                  <c:v>APR</c:v>
                </c:pt>
                <c:pt idx="4">
                  <c:v>MAY</c:v>
                </c:pt>
                <c:pt idx="5">
                  <c:v>JUN</c:v>
                </c:pt>
                <c:pt idx="6">
                  <c:v>JUL</c:v>
                </c:pt>
                <c:pt idx="7">
                  <c:v>AUG</c:v>
                </c:pt>
                <c:pt idx="8">
                  <c:v>SEP</c:v>
                </c:pt>
              </c:strCache>
            </c:strRef>
          </c:cat>
          <c:val>
            <c:numRef>
              <c:f>Sheet2!$C$15:$K$15</c:f>
              <c:numCache>
                <c:formatCode>General</c:formatCode>
                <c:ptCount val="9"/>
                <c:pt idx="2" formatCode="#,##0">
                  <c:v>8900000</c:v>
                </c:pt>
                <c:pt idx="3" formatCode="#,##0">
                  <c:v>13132000</c:v>
                </c:pt>
                <c:pt idx="4" formatCode="#,##0">
                  <c:v>6600000</c:v>
                </c:pt>
                <c:pt idx="5" formatCode="#,##0">
                  <c:v>3368000</c:v>
                </c:pt>
                <c:pt idx="6" formatCode="#,##0">
                  <c:v>8900000</c:v>
                </c:pt>
                <c:pt idx="7" formatCode="#,##0">
                  <c:v>11632000</c:v>
                </c:pt>
                <c:pt idx="8" formatCode="#,##0">
                  <c:v>3500000</c:v>
                </c:pt>
              </c:numCache>
            </c:numRef>
          </c:val>
          <c:smooth val="0"/>
          <c:extLst>
            <c:ext xmlns:c16="http://schemas.microsoft.com/office/drawing/2014/chart" uri="{C3380CC4-5D6E-409C-BE32-E72D297353CC}">
              <c16:uniqueId val="{00000005-60BE-450E-B61B-259349CF0D1A}"/>
            </c:ext>
          </c:extLst>
        </c:ser>
        <c:ser>
          <c:idx val="6"/>
          <c:order val="6"/>
          <c:tx>
            <c:strRef>
              <c:f>Sheet2!$B$16</c:f>
              <c:strCache>
                <c:ptCount val="1"/>
                <c:pt idx="0">
                  <c:v>Full Immunistion</c:v>
                </c:pt>
              </c:strCache>
            </c:strRef>
          </c:tx>
          <c:spPr>
            <a:ln w="28575" cap="rnd">
              <a:solidFill>
                <a:schemeClr val="accent1">
                  <a:lumMod val="60000"/>
                </a:schemeClr>
              </a:solidFill>
              <a:round/>
            </a:ln>
            <a:effectLst/>
          </c:spPr>
          <c:marker>
            <c:symbol val="none"/>
          </c:marker>
          <c:cat>
            <c:strRef>
              <c:f>Sheet2!$C$9:$K$9</c:f>
              <c:strCache>
                <c:ptCount val="9"/>
                <c:pt idx="0">
                  <c:v>JAN</c:v>
                </c:pt>
                <c:pt idx="1">
                  <c:v>FEB</c:v>
                </c:pt>
                <c:pt idx="2">
                  <c:v>MAR</c:v>
                </c:pt>
                <c:pt idx="3">
                  <c:v>APR</c:v>
                </c:pt>
                <c:pt idx="4">
                  <c:v>MAY</c:v>
                </c:pt>
                <c:pt idx="5">
                  <c:v>JUN</c:v>
                </c:pt>
                <c:pt idx="6">
                  <c:v>JUL</c:v>
                </c:pt>
                <c:pt idx="7">
                  <c:v>AUG</c:v>
                </c:pt>
                <c:pt idx="8">
                  <c:v>SEP</c:v>
                </c:pt>
              </c:strCache>
            </c:strRef>
          </c:cat>
          <c:val>
            <c:numRef>
              <c:f>Sheet2!$C$16:$K$16</c:f>
              <c:numCache>
                <c:formatCode>General</c:formatCode>
                <c:ptCount val="9"/>
                <c:pt idx="2" formatCode="#,##0">
                  <c:v>8900000</c:v>
                </c:pt>
                <c:pt idx="3" formatCode="#,##0">
                  <c:v>22032000</c:v>
                </c:pt>
                <c:pt idx="4" formatCode="#,##0">
                  <c:v>28632000</c:v>
                </c:pt>
                <c:pt idx="5" formatCode="#,##0">
                  <c:v>32000000</c:v>
                </c:pt>
                <c:pt idx="6" formatCode="#,##0">
                  <c:v>40900000</c:v>
                </c:pt>
                <c:pt idx="7" formatCode="#,##0">
                  <c:v>52532000</c:v>
                </c:pt>
                <c:pt idx="8" formatCode="#,##0">
                  <c:v>56032000</c:v>
                </c:pt>
              </c:numCache>
            </c:numRef>
          </c:val>
          <c:smooth val="0"/>
          <c:extLst>
            <c:ext xmlns:c16="http://schemas.microsoft.com/office/drawing/2014/chart" uri="{C3380CC4-5D6E-409C-BE32-E72D297353CC}">
              <c16:uniqueId val="{00000006-60BE-450E-B61B-259349CF0D1A}"/>
            </c:ext>
          </c:extLst>
        </c:ser>
        <c:dLbls>
          <c:showLegendKey val="0"/>
          <c:showVal val="0"/>
          <c:showCatName val="0"/>
          <c:showSerName val="0"/>
          <c:showPercent val="0"/>
          <c:showBubbleSize val="0"/>
        </c:dLbls>
        <c:marker val="1"/>
        <c:smooth val="0"/>
        <c:axId val="757708456"/>
        <c:axId val="757712064"/>
      </c:lineChart>
      <c:catAx>
        <c:axId val="757708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7712064"/>
        <c:crosses val="autoZero"/>
        <c:auto val="1"/>
        <c:lblAlgn val="ctr"/>
        <c:lblOffset val="100"/>
        <c:noMultiLvlLbl val="0"/>
      </c:catAx>
      <c:valAx>
        <c:axId val="757712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7708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2A30FDCB1774D448C3EFBD3EFB485AE" ma:contentTypeVersion="2" ma:contentTypeDescription="Create a new document." ma:contentTypeScope="" ma:versionID="be195806c83fdd93e347da645a3ce2ed">
  <xsd:schema xmlns:xsd="http://www.w3.org/2001/XMLSchema" xmlns:xs="http://www.w3.org/2001/XMLSchema" xmlns:p="http://schemas.microsoft.com/office/2006/metadata/properties" xmlns:ns3="cd58de81-2600-493a-b27c-3445a1d06d44" targetNamespace="http://schemas.microsoft.com/office/2006/metadata/properties" ma:root="true" ma:fieldsID="a24d70205af0b992b91f3c95e0c9410e" ns3:_="">
    <xsd:import namespace="cd58de81-2600-493a-b27c-3445a1d06d4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8de81-2600-493a-b27c-3445a1d06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6303D6-679B-496F-804C-E8278ADBEFEB}">
  <ds:schemaRefs>
    <ds:schemaRef ds:uri="http://schemas.microsoft.com/sharepoint/v3/contenttype/forms"/>
  </ds:schemaRefs>
</ds:datastoreItem>
</file>

<file path=customXml/itemProps2.xml><?xml version="1.0" encoding="utf-8"?>
<ds:datastoreItem xmlns:ds="http://schemas.openxmlformats.org/officeDocument/2006/customXml" ds:itemID="{B87012B5-CB5C-4346-8E4B-4C49AF317992}">
  <ds:schemaRefs>
    <ds:schemaRef ds:uri="http://purl.org/dc/elements/1.1/"/>
    <ds:schemaRef ds:uri="http://schemas.openxmlformats.org/package/2006/metadata/core-properties"/>
    <ds:schemaRef ds:uri="http://purl.org/dc/dcmitype/"/>
    <ds:schemaRef ds:uri="cd58de81-2600-493a-b27c-3445a1d06d44"/>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12FE9F9-1C9E-4CA0-81CA-EA27CE9FD7BF}">
  <ds:schemaRefs>
    <ds:schemaRef ds:uri="http://schemas.openxmlformats.org/officeDocument/2006/bibliography"/>
  </ds:schemaRefs>
</ds:datastoreItem>
</file>

<file path=customXml/itemProps4.xml><?xml version="1.0" encoding="utf-8"?>
<ds:datastoreItem xmlns:ds="http://schemas.openxmlformats.org/officeDocument/2006/customXml" ds:itemID="{E1CF8637-6EA8-4F5B-8C72-F245AC79A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8de81-2600-493a-b27c-3445a1d06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2010</Words>
  <Characters>11462</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Pipe</dc:creator>
  <cp:lastModifiedBy>Ravi Lockyer</cp:lastModifiedBy>
  <cp:revision>2</cp:revision>
  <cp:lastPrinted>2020-12-30T13:02:00Z</cp:lastPrinted>
  <dcterms:created xsi:type="dcterms:W3CDTF">2021-02-15T15:37:00Z</dcterms:created>
  <dcterms:modified xsi:type="dcterms:W3CDTF">2021-02-15T15:37:00Z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0x01010062A30FDCB1774D448C3EFBD3EFB485AE</vt:lpwstr>
  </property>
</Properties>
</file>