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
        <w:gridCol w:w="2674"/>
        <w:gridCol w:w="798"/>
        <w:gridCol w:w="7195"/>
      </w:tblGrid>
      <w:tr w:rsidR="005C2672" w:rsidRPr="001B10A5" w14:paraId="1D0C52FB" w14:textId="77777777" w:rsidTr="004D2579">
        <w:trPr>
          <w:gridBefore w:val="1"/>
          <w:wBefore w:w="73" w:type="dxa"/>
          <w:trHeight w:val="432"/>
        </w:trPr>
        <w:tc>
          <w:tcPr>
            <w:tcW w:w="3472" w:type="dxa"/>
            <w:gridSpan w:val="2"/>
            <w:tcBorders>
              <w:bottom w:val="single" w:sz="4" w:space="0" w:color="auto"/>
            </w:tcBorders>
            <w:shd w:val="clear" w:color="auto" w:fill="005E2A"/>
            <w:vAlign w:val="center"/>
          </w:tcPr>
          <w:p w14:paraId="061A9880" w14:textId="0CBC773B" w:rsidR="00F608C6" w:rsidRDefault="00F608C6" w:rsidP="000904CB">
            <w:pPr>
              <w:spacing w:before="240" w:after="240"/>
              <w:ind w:left="144"/>
              <w:rPr>
                <w:rFonts w:ascii="Open Sans Light" w:hAnsi="Open Sans Light"/>
                <w:sz w:val="40"/>
                <w:szCs w:val="40"/>
              </w:rPr>
            </w:pPr>
            <w:r>
              <w:rPr>
                <w:rFonts w:ascii="Open Sans Light" w:hAnsi="Open Sans Light"/>
                <w:sz w:val="40"/>
                <w:szCs w:val="40"/>
              </w:rPr>
              <w:t>Equity Research</w:t>
            </w:r>
            <w:r w:rsidR="00552F05">
              <w:rPr>
                <w:rFonts w:ascii="Open Sans Light" w:hAnsi="Open Sans Light"/>
                <w:sz w:val="40"/>
                <w:szCs w:val="40"/>
              </w:rPr>
              <w:t>;</w:t>
            </w:r>
            <w:r w:rsidR="00F6339C">
              <w:rPr>
                <w:rFonts w:ascii="Open Sans Light" w:hAnsi="Open Sans Light"/>
                <w:sz w:val="40"/>
                <w:szCs w:val="40"/>
              </w:rPr>
              <w:t xml:space="preserve"> Airlines in a ‘brave new world’</w:t>
            </w:r>
          </w:p>
        </w:tc>
        <w:tc>
          <w:tcPr>
            <w:tcW w:w="7195" w:type="dxa"/>
            <w:tcBorders>
              <w:bottom w:val="single" w:sz="4" w:space="0" w:color="auto"/>
            </w:tcBorders>
            <w:shd w:val="clear" w:color="auto" w:fill="005E2A"/>
            <w:vAlign w:val="center"/>
          </w:tcPr>
          <w:p w14:paraId="5D6C4127" w14:textId="7A6815D5" w:rsidR="00F608C6" w:rsidRPr="001B10A5" w:rsidRDefault="00F608C6" w:rsidP="001D4E4E">
            <w:pPr>
              <w:spacing w:before="240" w:after="240"/>
              <w:ind w:right="144"/>
              <w:jc w:val="right"/>
              <w:rPr>
                <w:rFonts w:ascii="Open Sans Light" w:hAnsi="Open Sans Light"/>
                <w:sz w:val="40"/>
                <w:szCs w:val="40"/>
              </w:rPr>
            </w:pPr>
            <w:r>
              <w:rPr>
                <w:rFonts w:ascii="Open Sans Light" w:hAnsi="Open Sans Light"/>
                <w:noProof/>
                <w:sz w:val="40"/>
                <w:szCs w:val="40"/>
                <w:lang w:val="en-GB" w:eastAsia="en-GB"/>
              </w:rPr>
              <w:drawing>
                <wp:inline distT="0" distB="0" distL="0" distR="0" wp14:anchorId="05D41771" wp14:editId="3AB447B1">
                  <wp:extent cx="2348630" cy="222715"/>
                  <wp:effectExtent l="0" t="0" r="0" b="6350"/>
                  <wp:docPr id="6" name="Picture 6" descr="../../../../Download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cs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630" cy="222715"/>
                          </a:xfrm>
                          <a:prstGeom prst="rect">
                            <a:avLst/>
                          </a:prstGeom>
                          <a:noFill/>
                          <a:ln>
                            <a:noFill/>
                          </a:ln>
                        </pic:spPr>
                      </pic:pic>
                    </a:graphicData>
                  </a:graphic>
                </wp:inline>
              </w:drawing>
            </w:r>
          </w:p>
        </w:tc>
      </w:tr>
      <w:tr w:rsidR="005C2672" w:rsidRPr="001B10A5" w14:paraId="26093F8F" w14:textId="77777777" w:rsidTr="004D2579">
        <w:tblPrEx>
          <w:tblCellMar>
            <w:left w:w="108" w:type="dxa"/>
            <w:right w:w="108" w:type="dxa"/>
          </w:tblCellMar>
        </w:tblPrEx>
        <w:trPr>
          <w:gridBefore w:val="1"/>
          <w:wBefore w:w="73" w:type="dxa"/>
          <w:trHeight w:val="345"/>
        </w:trPr>
        <w:tc>
          <w:tcPr>
            <w:tcW w:w="2674" w:type="dxa"/>
            <w:tcBorders>
              <w:top w:val="single" w:sz="48" w:space="0" w:color="FFFFFF"/>
              <w:right w:val="single" w:sz="48" w:space="0" w:color="FFFFFF"/>
            </w:tcBorders>
          </w:tcPr>
          <w:tbl>
            <w:tblPr>
              <w:tblStyle w:val="TableGrid"/>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tblGrid>
            <w:tr w:rsidR="002366E3" w:rsidRPr="002366E3" w14:paraId="79DFC852" w14:textId="77777777" w:rsidTr="004D2579">
              <w:tc>
                <w:tcPr>
                  <w:tcW w:w="2880" w:type="dxa"/>
                  <w:tcBorders>
                    <w:bottom w:val="single" w:sz="24" w:space="0" w:color="FFFFFF" w:themeColor="background1"/>
                  </w:tcBorders>
                  <w:shd w:val="clear" w:color="auto" w:fill="005D2A"/>
                </w:tcPr>
                <w:p w14:paraId="6D268596" w14:textId="1914E34F" w:rsidR="002366E3" w:rsidRPr="002366E3" w:rsidRDefault="002366E3" w:rsidP="0014734B">
                  <w:pPr>
                    <w:spacing w:before="100" w:after="100"/>
                    <w:rPr>
                      <w:rFonts w:ascii="Open Sans Light" w:hAnsi="Open Sans Light"/>
                      <w:sz w:val="22"/>
                    </w:rPr>
                  </w:pPr>
                  <w:r w:rsidRPr="002366E3">
                    <w:rPr>
                      <w:rFonts w:ascii="Open Sans Light" w:hAnsi="Open Sans Light"/>
                    </w:rPr>
                    <w:t>Research Report</w:t>
                  </w:r>
                </w:p>
              </w:tc>
            </w:tr>
            <w:tr w:rsidR="002366E3" w:rsidRPr="002366E3" w14:paraId="6001998E" w14:textId="77777777" w:rsidTr="004D2579">
              <w:tc>
                <w:tcPr>
                  <w:tcW w:w="2880" w:type="dxa"/>
                  <w:tcBorders>
                    <w:top w:val="single" w:sz="24" w:space="0" w:color="FFFFFF" w:themeColor="background1"/>
                  </w:tcBorders>
                  <w:shd w:val="clear" w:color="auto" w:fill="E7E6E6" w:themeFill="background2"/>
                </w:tcPr>
                <w:p w14:paraId="2627CD74" w14:textId="34337C3D" w:rsidR="002366E3" w:rsidRPr="002366E3" w:rsidRDefault="002366E3" w:rsidP="00D20604">
                  <w:pPr>
                    <w:spacing w:before="60" w:after="60"/>
                    <w:rPr>
                      <w:rFonts w:ascii="Open Sans Light" w:hAnsi="Open Sans Light"/>
                      <w:sz w:val="22"/>
                    </w:rPr>
                  </w:pPr>
                  <w:r w:rsidRPr="002366E3">
                    <w:rPr>
                      <w:rFonts w:ascii="Open Sans Light" w:hAnsi="Open Sans Light"/>
                      <w:sz w:val="22"/>
                    </w:rPr>
                    <w:t>Report Date</w:t>
                  </w:r>
                </w:p>
              </w:tc>
            </w:tr>
            <w:tr w:rsidR="002366E3" w:rsidRPr="002366E3" w14:paraId="3F6290F7" w14:textId="77777777" w:rsidTr="004D2579">
              <w:trPr>
                <w:trHeight w:val="585"/>
              </w:trPr>
              <w:tc>
                <w:tcPr>
                  <w:tcW w:w="2880" w:type="dxa"/>
                </w:tcPr>
                <w:p w14:paraId="386CC231" w14:textId="5D5DBF7C" w:rsidR="002366E3" w:rsidRPr="002366E3" w:rsidRDefault="00B02620" w:rsidP="00DC5CD7">
                  <w:pPr>
                    <w:spacing w:before="60" w:after="60"/>
                    <w:rPr>
                      <w:rFonts w:ascii="Open Sans Light" w:hAnsi="Open Sans Light"/>
                      <w:sz w:val="22"/>
                    </w:rPr>
                  </w:pPr>
                  <w:r>
                    <w:rPr>
                      <w:rFonts w:ascii="Open Sans Light" w:hAnsi="Open Sans Light"/>
                      <w:sz w:val="22"/>
                    </w:rPr>
                    <w:t>6th</w:t>
                  </w:r>
                  <w:r w:rsidR="00F6339C">
                    <w:rPr>
                      <w:rFonts w:ascii="Open Sans Light" w:hAnsi="Open Sans Light"/>
                      <w:sz w:val="22"/>
                    </w:rPr>
                    <w:t xml:space="preserve"> July</w:t>
                  </w:r>
                  <w:r w:rsidR="0000025A">
                    <w:rPr>
                      <w:rFonts w:ascii="Open Sans Light" w:hAnsi="Open Sans Light"/>
                      <w:sz w:val="22"/>
                    </w:rPr>
                    <w:t xml:space="preserve"> 20</w:t>
                  </w:r>
                  <w:r w:rsidR="009262D5">
                    <w:rPr>
                      <w:rFonts w:ascii="Open Sans Light" w:hAnsi="Open Sans Light"/>
                      <w:sz w:val="22"/>
                    </w:rPr>
                    <w:t>20</w:t>
                  </w:r>
                </w:p>
              </w:tc>
            </w:tr>
            <w:tr w:rsidR="002366E3" w:rsidRPr="002366E3" w14:paraId="01C5EC3B" w14:textId="77777777" w:rsidTr="004D2579">
              <w:tc>
                <w:tcPr>
                  <w:tcW w:w="2880" w:type="dxa"/>
                  <w:shd w:val="clear" w:color="auto" w:fill="E7E6E6" w:themeFill="background2"/>
                </w:tcPr>
                <w:p w14:paraId="3B3F2D9E" w14:textId="0D0159DE" w:rsidR="002366E3" w:rsidRPr="002366E3" w:rsidRDefault="002366E3" w:rsidP="00D20604">
                  <w:pPr>
                    <w:spacing w:before="60" w:after="60"/>
                    <w:rPr>
                      <w:rFonts w:ascii="Open Sans Light" w:hAnsi="Open Sans Light"/>
                      <w:sz w:val="22"/>
                    </w:rPr>
                  </w:pPr>
                  <w:r w:rsidRPr="002366E3">
                    <w:rPr>
                      <w:rFonts w:ascii="Open Sans Light" w:hAnsi="Open Sans Light"/>
                      <w:sz w:val="22"/>
                    </w:rPr>
                    <w:t>Analyst</w:t>
                  </w:r>
                </w:p>
              </w:tc>
            </w:tr>
            <w:tr w:rsidR="002366E3" w:rsidRPr="002366E3" w14:paraId="3B43D447" w14:textId="77777777" w:rsidTr="004D2579">
              <w:trPr>
                <w:trHeight w:val="1107"/>
              </w:trPr>
              <w:tc>
                <w:tcPr>
                  <w:tcW w:w="2880" w:type="dxa"/>
                </w:tcPr>
                <w:p w14:paraId="61C83D48" w14:textId="7854AB20" w:rsidR="00D20604" w:rsidRPr="002366E3" w:rsidRDefault="002366E3" w:rsidP="00D20604">
                  <w:pPr>
                    <w:spacing w:before="60" w:after="60"/>
                    <w:rPr>
                      <w:rFonts w:ascii="Open Sans Light" w:hAnsi="Open Sans Light"/>
                      <w:sz w:val="22"/>
                    </w:rPr>
                  </w:pPr>
                  <w:r w:rsidRPr="002366E3">
                    <w:rPr>
                      <w:rFonts w:ascii="Open Sans Light" w:hAnsi="Open Sans Light"/>
                      <w:sz w:val="22"/>
                    </w:rPr>
                    <w:t xml:space="preserve">Ravi Lockyer MSc </w:t>
                  </w:r>
                  <w:proofErr w:type="spellStart"/>
                  <w:r w:rsidRPr="002366E3">
                    <w:rPr>
                      <w:rFonts w:ascii="Open Sans Light" w:hAnsi="Open Sans Light"/>
                      <w:sz w:val="22"/>
                    </w:rPr>
                    <w:t>Llb</w:t>
                  </w:r>
                  <w:proofErr w:type="spellEnd"/>
                  <w:r w:rsidR="00352A25">
                    <w:rPr>
                      <w:rFonts w:ascii="Open Sans Light" w:hAnsi="Open Sans Light"/>
                      <w:sz w:val="22"/>
                    </w:rPr>
                    <w:t xml:space="preserve"> ASCI</w:t>
                  </w:r>
                </w:p>
                <w:p w14:paraId="21044124" w14:textId="723A1A5D" w:rsidR="002366E3" w:rsidRPr="002366E3" w:rsidRDefault="002366E3" w:rsidP="00D20604">
                  <w:pPr>
                    <w:spacing w:before="60" w:after="60"/>
                    <w:rPr>
                      <w:rFonts w:ascii="Open Sans Light" w:hAnsi="Open Sans Light"/>
                      <w:sz w:val="22"/>
                    </w:rPr>
                  </w:pPr>
                  <w:r w:rsidRPr="00F30F79">
                    <w:rPr>
                      <w:rFonts w:ascii="Open Sans Light" w:hAnsi="Open Sans Light"/>
                      <w:sz w:val="20"/>
                    </w:rPr>
                    <w:t>Collins Sarri Statham Investments Ltd</w:t>
                  </w:r>
                </w:p>
              </w:tc>
            </w:tr>
            <w:tr w:rsidR="00FF4B84" w:rsidRPr="002366E3" w14:paraId="2D0424F1" w14:textId="77777777" w:rsidTr="004D2579">
              <w:trPr>
                <w:trHeight w:val="468"/>
              </w:trPr>
              <w:tc>
                <w:tcPr>
                  <w:tcW w:w="2880" w:type="dxa"/>
                  <w:shd w:val="clear" w:color="auto" w:fill="E7E6E6"/>
                </w:tcPr>
                <w:p w14:paraId="71999C0A" w14:textId="07416B31" w:rsidR="00FF4B84" w:rsidRDefault="00FF4B84" w:rsidP="00D20604">
                  <w:pPr>
                    <w:spacing w:before="60" w:after="60"/>
                    <w:rPr>
                      <w:rFonts w:ascii="Open Sans Light" w:hAnsi="Open Sans Light"/>
                      <w:sz w:val="22"/>
                    </w:rPr>
                  </w:pPr>
                  <w:r w:rsidRPr="00FF4B84">
                    <w:rPr>
                      <w:rFonts w:ascii="Open Sans Light" w:hAnsi="Open Sans Light"/>
                      <w:sz w:val="22"/>
                    </w:rPr>
                    <w:t>Key Risks to Price</w:t>
                  </w:r>
                  <w:r>
                    <w:rPr>
                      <w:rFonts w:ascii="Open Sans Light" w:hAnsi="Open Sans Light"/>
                      <w:sz w:val="22"/>
                    </w:rPr>
                    <w:t xml:space="preserve"> </w:t>
                  </w:r>
                  <w:r w:rsidRPr="00FF4B84">
                    <w:rPr>
                      <w:rFonts w:ascii="Open Sans Light" w:hAnsi="Open Sans Light"/>
                      <w:sz w:val="22"/>
                    </w:rPr>
                    <w:t>Target</w:t>
                  </w:r>
                </w:p>
              </w:tc>
            </w:tr>
            <w:tr w:rsidR="00FF4B84" w:rsidRPr="002366E3" w14:paraId="61BCDE04" w14:textId="77777777" w:rsidTr="004D2579">
              <w:trPr>
                <w:trHeight w:val="1449"/>
              </w:trPr>
              <w:tc>
                <w:tcPr>
                  <w:tcW w:w="2880" w:type="dxa"/>
                </w:tcPr>
                <w:p w14:paraId="2FEB1DE4" w14:textId="7CCCE2BA" w:rsidR="00E2304F" w:rsidRDefault="00E2304F" w:rsidP="00E2304F">
                  <w:pPr>
                    <w:spacing w:before="60" w:after="60"/>
                    <w:rPr>
                      <w:rFonts w:ascii="Open Sans Light" w:hAnsi="Open Sans Light"/>
                      <w:sz w:val="22"/>
                    </w:rPr>
                  </w:pPr>
                  <w:r>
                    <w:rPr>
                      <w:rFonts w:ascii="Open Sans Light" w:hAnsi="Open Sans Light"/>
                      <w:sz w:val="22"/>
                    </w:rPr>
                    <w:t>Not applicable</w:t>
                  </w:r>
                </w:p>
                <w:p w14:paraId="48915BF0" w14:textId="77777777" w:rsidR="00E2304F" w:rsidRDefault="00E2304F" w:rsidP="00E2304F">
                  <w:pPr>
                    <w:spacing w:before="60" w:after="60"/>
                    <w:rPr>
                      <w:rFonts w:ascii="Open Sans Light" w:hAnsi="Open Sans Light"/>
                      <w:sz w:val="22"/>
                    </w:rPr>
                  </w:pPr>
                </w:p>
                <w:p w14:paraId="03D6C7D5" w14:textId="69E67131" w:rsidR="00FF4B84" w:rsidRPr="00FF4B84" w:rsidRDefault="00FF4B84" w:rsidP="00E2304F">
                  <w:pPr>
                    <w:spacing w:before="60" w:after="60"/>
                    <w:rPr>
                      <w:rFonts w:ascii="Open Sans Light" w:hAnsi="Open Sans Light"/>
                      <w:i/>
                      <w:sz w:val="22"/>
                    </w:rPr>
                  </w:pPr>
                  <w:r w:rsidRPr="00FF4B84">
                    <w:rPr>
                      <w:rFonts w:ascii="Open Sans Light" w:hAnsi="Open Sans Light"/>
                      <w:i/>
                      <w:sz w:val="22"/>
                    </w:rPr>
                    <w:t>Please note the risk warnings and disclaimers on the last page of this document.</w:t>
                  </w:r>
                </w:p>
              </w:tc>
            </w:tr>
            <w:tr w:rsidR="00FF4B84" w:rsidRPr="002366E3" w14:paraId="42CD9014" w14:textId="77777777" w:rsidTr="004D2579">
              <w:trPr>
                <w:trHeight w:val="441"/>
              </w:trPr>
              <w:tc>
                <w:tcPr>
                  <w:tcW w:w="2880" w:type="dxa"/>
                  <w:shd w:val="clear" w:color="auto" w:fill="E7E6E6"/>
                </w:tcPr>
                <w:p w14:paraId="1C2E99C3" w14:textId="3AA5390F" w:rsidR="00FF4B84" w:rsidRPr="00FF4B84" w:rsidRDefault="00FF4B84" w:rsidP="00FF4B84">
                  <w:pPr>
                    <w:spacing w:before="60" w:after="60"/>
                    <w:rPr>
                      <w:rFonts w:ascii="Open Sans Light" w:hAnsi="Open Sans Light"/>
                      <w:sz w:val="22"/>
                    </w:rPr>
                  </w:pPr>
                </w:p>
              </w:tc>
            </w:tr>
          </w:tbl>
          <w:p w14:paraId="1337C626" w14:textId="7C4EDF1A" w:rsidR="001B10A5" w:rsidRPr="001B10A5" w:rsidRDefault="001B10A5" w:rsidP="0014734B">
            <w:pPr>
              <w:rPr>
                <w:rFonts w:ascii="Open Sans Light" w:hAnsi="Open Sans Light"/>
              </w:rPr>
            </w:pPr>
          </w:p>
        </w:tc>
        <w:tc>
          <w:tcPr>
            <w:tcW w:w="7993" w:type="dxa"/>
            <w:gridSpan w:val="2"/>
            <w:tcBorders>
              <w:top w:val="single" w:sz="48" w:space="0" w:color="FFFFFF"/>
              <w:left w:val="single" w:sz="48" w:space="0" w:color="FFFFFF"/>
            </w:tcBorders>
          </w:tcPr>
          <w:p w14:paraId="084064E7" w14:textId="71D34C17" w:rsidR="00DF6A8E" w:rsidRPr="00802AB8" w:rsidRDefault="00F6339C" w:rsidP="00DF6A8E">
            <w:pPr>
              <w:spacing w:after="120"/>
              <w:rPr>
                <w:rFonts w:ascii="Open Sans Semibold" w:hAnsi="Open Sans Semibold"/>
                <w:color w:val="005D2A"/>
                <w:sz w:val="32"/>
              </w:rPr>
            </w:pPr>
            <w:r w:rsidRPr="00802AB8">
              <w:rPr>
                <w:rFonts w:ascii="Open Sans Semibold" w:hAnsi="Open Sans Semibold"/>
                <w:color w:val="005D2A"/>
                <w:sz w:val="32"/>
              </w:rPr>
              <w:t>EU Airlines – significant changes ahead</w:t>
            </w:r>
          </w:p>
          <w:p w14:paraId="5B264AD7" w14:textId="3AECCE30" w:rsidR="00F0032E" w:rsidRDefault="00F6339C" w:rsidP="00F6339C">
            <w:pPr>
              <w:spacing w:before="120" w:after="120"/>
              <w:jc w:val="both"/>
              <w:rPr>
                <w:rFonts w:ascii="Open Sans Light" w:hAnsi="Open Sans Light"/>
                <w:sz w:val="22"/>
              </w:rPr>
            </w:pPr>
            <w:r>
              <w:rPr>
                <w:rFonts w:ascii="Open Sans Light" w:hAnsi="Open Sans Light"/>
                <w:sz w:val="22"/>
              </w:rPr>
              <w:t>With re-opening underway over July, the August summer holiday</w:t>
            </w:r>
            <w:r w:rsidR="00A05175">
              <w:rPr>
                <w:rFonts w:ascii="Open Sans Light" w:hAnsi="Open Sans Light"/>
                <w:sz w:val="22"/>
              </w:rPr>
              <w:t xml:space="preserve"> </w:t>
            </w:r>
            <w:r>
              <w:rPr>
                <w:rFonts w:ascii="Open Sans Light" w:hAnsi="Open Sans Light"/>
                <w:sz w:val="22"/>
              </w:rPr>
              <w:t>ha</w:t>
            </w:r>
            <w:r w:rsidR="00F53644">
              <w:rPr>
                <w:rFonts w:ascii="Open Sans Light" w:hAnsi="Open Sans Light"/>
                <w:sz w:val="22"/>
              </w:rPr>
              <w:t>s</w:t>
            </w:r>
            <w:r>
              <w:rPr>
                <w:rFonts w:ascii="Open Sans Light" w:hAnsi="Open Sans Light"/>
                <w:sz w:val="22"/>
              </w:rPr>
              <w:t xml:space="preserve"> been saved. The list of </w:t>
            </w:r>
            <w:r w:rsidR="00F007A7">
              <w:rPr>
                <w:rFonts w:ascii="Open Sans Light" w:hAnsi="Open Sans Light"/>
                <w:sz w:val="22"/>
              </w:rPr>
              <w:t xml:space="preserve">UK </w:t>
            </w:r>
            <w:r>
              <w:rPr>
                <w:rFonts w:ascii="Open Sans Light" w:hAnsi="Open Sans Light"/>
                <w:sz w:val="22"/>
              </w:rPr>
              <w:t xml:space="preserve">“air bridge” countries </w:t>
            </w:r>
            <w:r w:rsidR="00E44D6F">
              <w:rPr>
                <w:rFonts w:ascii="Open Sans Light" w:hAnsi="Open Sans Light"/>
                <w:sz w:val="22"/>
              </w:rPr>
              <w:t xml:space="preserve">at </w:t>
            </w:r>
            <w:r w:rsidR="001C7E74">
              <w:rPr>
                <w:rFonts w:ascii="Open Sans Light" w:hAnsi="Open Sans Light"/>
                <w:sz w:val="22"/>
              </w:rPr>
              <w:t>75</w:t>
            </w:r>
            <w:r w:rsidR="00E44D6F">
              <w:rPr>
                <w:rFonts w:ascii="Open Sans Light" w:hAnsi="Open Sans Light"/>
                <w:sz w:val="22"/>
              </w:rPr>
              <w:t xml:space="preserve"> provides plenty of choice</w:t>
            </w:r>
            <w:r w:rsidR="00F53644">
              <w:rPr>
                <w:rFonts w:ascii="Open Sans Light" w:hAnsi="Open Sans Light"/>
                <w:sz w:val="22"/>
              </w:rPr>
              <w:t xml:space="preserve"> in the EU</w:t>
            </w:r>
            <w:r w:rsidR="00E44D6F">
              <w:rPr>
                <w:rFonts w:ascii="Open Sans Light" w:hAnsi="Open Sans Light"/>
                <w:sz w:val="22"/>
              </w:rPr>
              <w:t>, however North American destinations are limited to Canada.</w:t>
            </w:r>
          </w:p>
          <w:p w14:paraId="7C9B61A0" w14:textId="564F4089" w:rsidR="00F007A7" w:rsidRDefault="00F53644" w:rsidP="00F6339C">
            <w:pPr>
              <w:spacing w:before="120" w:after="120"/>
              <w:jc w:val="both"/>
              <w:rPr>
                <w:rFonts w:ascii="Open Sans Light" w:hAnsi="Open Sans Light"/>
                <w:sz w:val="22"/>
              </w:rPr>
            </w:pPr>
            <w:r>
              <w:rPr>
                <w:rFonts w:ascii="Open Sans Light" w:hAnsi="Open Sans Light"/>
                <w:sz w:val="22"/>
              </w:rPr>
              <w:t>Given the lockdown and financial uncertainty</w:t>
            </w:r>
            <w:r w:rsidR="005C2672">
              <w:rPr>
                <w:rFonts w:ascii="Open Sans Light" w:hAnsi="Open Sans Light"/>
                <w:sz w:val="22"/>
              </w:rPr>
              <w:t xml:space="preserve">, </w:t>
            </w:r>
            <w:r w:rsidR="00056EE1">
              <w:rPr>
                <w:rFonts w:ascii="Open Sans Light" w:hAnsi="Open Sans Light"/>
                <w:sz w:val="22"/>
              </w:rPr>
              <w:t xml:space="preserve">Q2 </w:t>
            </w:r>
            <w:r w:rsidR="005C2672">
              <w:rPr>
                <w:rFonts w:ascii="Open Sans Light" w:hAnsi="Open Sans Light"/>
                <w:sz w:val="22"/>
              </w:rPr>
              <w:t xml:space="preserve">2020 </w:t>
            </w:r>
            <w:r w:rsidR="00056EE1">
              <w:rPr>
                <w:rFonts w:ascii="Open Sans Light" w:hAnsi="Open Sans Light"/>
                <w:sz w:val="22"/>
              </w:rPr>
              <w:t xml:space="preserve">saw global </w:t>
            </w:r>
            <w:r>
              <w:rPr>
                <w:rFonts w:ascii="Open Sans Light" w:hAnsi="Open Sans Light"/>
                <w:sz w:val="22"/>
              </w:rPr>
              <w:t>demand</w:t>
            </w:r>
            <w:r w:rsidR="00056EE1">
              <w:rPr>
                <w:rFonts w:ascii="Open Sans Light" w:hAnsi="Open Sans Light"/>
                <w:sz w:val="22"/>
              </w:rPr>
              <w:t xml:space="preserve"> collapse</w:t>
            </w:r>
            <w:r>
              <w:rPr>
                <w:rFonts w:ascii="Open Sans Light" w:hAnsi="Open Sans Light"/>
                <w:sz w:val="22"/>
              </w:rPr>
              <w:t xml:space="preserve">. </w:t>
            </w:r>
            <w:r w:rsidR="00F007A7">
              <w:rPr>
                <w:rFonts w:ascii="Open Sans Light" w:hAnsi="Open Sans Light"/>
                <w:sz w:val="22"/>
              </w:rPr>
              <w:t xml:space="preserve">According to International Air Transport Association (IATA) – the key RPK (revenue passenger kilometers ‘passenger traffic’) dropped 91.3% compared to May 2019. </w:t>
            </w:r>
            <w:r w:rsidR="00056EE1">
              <w:rPr>
                <w:rFonts w:ascii="Open Sans Light" w:hAnsi="Open Sans Light"/>
                <w:sz w:val="22"/>
              </w:rPr>
              <w:t>IATA forecast RPK at under 4bn in 2020 from 8bn in 2019.</w:t>
            </w:r>
          </w:p>
          <w:p w14:paraId="6131D866" w14:textId="5D697CDF" w:rsidR="00F007A7" w:rsidRDefault="00F007A7" w:rsidP="00F6339C">
            <w:pPr>
              <w:spacing w:before="120" w:after="120"/>
              <w:jc w:val="both"/>
              <w:rPr>
                <w:rFonts w:ascii="Open Sans Light" w:hAnsi="Open Sans Light"/>
                <w:sz w:val="22"/>
              </w:rPr>
            </w:pPr>
            <w:r w:rsidRPr="00F007A7">
              <w:rPr>
                <w:rFonts w:ascii="Open Sans Light" w:hAnsi="Open Sans Light"/>
                <w:noProof/>
                <w:sz w:val="22"/>
              </w:rPr>
              <w:drawing>
                <wp:inline distT="0" distB="0" distL="0" distR="0" wp14:anchorId="32E86442" wp14:editId="4D1D1948">
                  <wp:extent cx="4775200" cy="2724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5200" cy="2724150"/>
                          </a:xfrm>
                          <a:prstGeom prst="rect">
                            <a:avLst/>
                          </a:prstGeom>
                        </pic:spPr>
                      </pic:pic>
                    </a:graphicData>
                  </a:graphic>
                </wp:inline>
              </w:drawing>
            </w:r>
          </w:p>
          <w:p w14:paraId="7FF537FB" w14:textId="1266E459" w:rsidR="00056EE1" w:rsidRDefault="00056EE1" w:rsidP="00A05175">
            <w:pPr>
              <w:spacing w:before="120" w:after="120"/>
              <w:jc w:val="both"/>
              <w:rPr>
                <w:rFonts w:ascii="Open Sans Light" w:hAnsi="Open Sans Light"/>
                <w:sz w:val="22"/>
              </w:rPr>
            </w:pPr>
            <w:r>
              <w:rPr>
                <w:rFonts w:ascii="Open Sans Light" w:hAnsi="Open Sans Light"/>
                <w:sz w:val="22"/>
              </w:rPr>
              <w:t xml:space="preserve">IATA May 2020; Domestic flights are down globally by 79.2% </w:t>
            </w:r>
            <w:r w:rsidR="00B02620">
              <w:rPr>
                <w:rFonts w:ascii="Open Sans Light" w:hAnsi="Open Sans Light"/>
                <w:sz w:val="22"/>
              </w:rPr>
              <w:t xml:space="preserve">with China recovering fast. </w:t>
            </w:r>
            <w:proofErr w:type="gramStart"/>
            <w:r w:rsidR="00B02620">
              <w:rPr>
                <w:rFonts w:ascii="Open Sans Light" w:hAnsi="Open Sans Light"/>
                <w:sz w:val="22"/>
              </w:rPr>
              <w:t>However</w:t>
            </w:r>
            <w:proofErr w:type="gramEnd"/>
            <w:r w:rsidR="00B02620">
              <w:rPr>
                <w:rFonts w:ascii="Open Sans Light" w:hAnsi="Open Sans Light"/>
                <w:sz w:val="22"/>
              </w:rPr>
              <w:t xml:space="preserve"> Japan has been hit hard which given the limited impact of Covid-19 (,1,000 deaths) looks counter intuitive. </w:t>
            </w:r>
          </w:p>
          <w:p w14:paraId="0A502D1C" w14:textId="14D66534" w:rsidR="00EB110E" w:rsidRDefault="005C2672" w:rsidP="00A05175">
            <w:pPr>
              <w:spacing w:before="120" w:after="120"/>
              <w:jc w:val="both"/>
              <w:rPr>
                <w:rFonts w:ascii="Open Sans Light" w:hAnsi="Open Sans Light"/>
                <w:sz w:val="22"/>
              </w:rPr>
            </w:pPr>
            <w:r w:rsidRPr="005C2672">
              <w:rPr>
                <w:rFonts w:ascii="Open Sans Light" w:hAnsi="Open Sans Light"/>
                <w:noProof/>
                <w:sz w:val="22"/>
              </w:rPr>
              <w:drawing>
                <wp:inline distT="0" distB="0" distL="0" distR="0" wp14:anchorId="09AF4E80" wp14:editId="50E27E05">
                  <wp:extent cx="4788868" cy="267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7587" cy="2708701"/>
                          </a:xfrm>
                          <a:prstGeom prst="rect">
                            <a:avLst/>
                          </a:prstGeom>
                        </pic:spPr>
                      </pic:pic>
                    </a:graphicData>
                  </a:graphic>
                </wp:inline>
              </w:drawing>
            </w:r>
          </w:p>
          <w:p w14:paraId="3688B636" w14:textId="5B608940" w:rsidR="005C2672" w:rsidRDefault="005C2672" w:rsidP="005C2672">
            <w:pPr>
              <w:spacing w:before="120" w:after="120"/>
              <w:jc w:val="both"/>
              <w:rPr>
                <w:rFonts w:ascii="Open Sans Light" w:hAnsi="Open Sans Light"/>
                <w:sz w:val="22"/>
              </w:rPr>
            </w:pPr>
            <w:r>
              <w:rPr>
                <w:rFonts w:ascii="Open Sans Light" w:hAnsi="Open Sans Light"/>
                <w:sz w:val="22"/>
              </w:rPr>
              <w:lastRenderedPageBreak/>
              <w:t xml:space="preserve">ASK ‘available seat kilometers’ i.e. the available passenger capacity suggests </w:t>
            </w:r>
            <w:r w:rsidR="00056EE1">
              <w:rPr>
                <w:rFonts w:ascii="Open Sans Light" w:hAnsi="Open Sans Light"/>
                <w:sz w:val="22"/>
              </w:rPr>
              <w:t xml:space="preserve">airlines are matching </w:t>
            </w:r>
            <w:r>
              <w:rPr>
                <w:rFonts w:ascii="Open Sans Light" w:hAnsi="Open Sans Light"/>
                <w:sz w:val="22"/>
              </w:rPr>
              <w:t xml:space="preserve">capacity </w:t>
            </w:r>
            <w:r w:rsidR="00056EE1">
              <w:rPr>
                <w:rFonts w:ascii="Open Sans Light" w:hAnsi="Open Sans Light"/>
                <w:sz w:val="22"/>
              </w:rPr>
              <w:t>with demand</w:t>
            </w:r>
            <w:r>
              <w:rPr>
                <w:rFonts w:ascii="Open Sans Light" w:hAnsi="Open Sans Light"/>
                <w:sz w:val="22"/>
              </w:rPr>
              <w:t xml:space="preserve">. </w:t>
            </w:r>
            <w:r w:rsidR="00802AB8">
              <w:rPr>
                <w:rFonts w:ascii="Open Sans Light" w:hAnsi="Open Sans Light"/>
                <w:sz w:val="22"/>
              </w:rPr>
              <w:t>Q2 is the ‘trough’ in demand i.e. the worst point.</w:t>
            </w:r>
          </w:p>
          <w:p w14:paraId="550E87A7" w14:textId="05F41E22" w:rsidR="00370198" w:rsidRDefault="005C2672" w:rsidP="005C2672">
            <w:pPr>
              <w:spacing w:before="120" w:after="120"/>
              <w:jc w:val="both"/>
              <w:rPr>
                <w:rFonts w:ascii="Open Sans Light" w:hAnsi="Open Sans Light"/>
                <w:sz w:val="22"/>
              </w:rPr>
            </w:pPr>
            <w:r>
              <w:rPr>
                <w:rFonts w:ascii="Open Sans Light" w:hAnsi="Open Sans Light"/>
                <w:sz w:val="22"/>
              </w:rPr>
              <w:t xml:space="preserve">‘Staycations’ face a strong outlook with </w:t>
            </w:r>
            <w:r w:rsidR="00874E3E">
              <w:rPr>
                <w:rFonts w:ascii="Open Sans Light" w:hAnsi="Open Sans Light"/>
                <w:sz w:val="22"/>
              </w:rPr>
              <w:t xml:space="preserve">UK/ EU </w:t>
            </w:r>
            <w:r>
              <w:rPr>
                <w:rFonts w:ascii="Open Sans Light" w:hAnsi="Open Sans Light"/>
                <w:sz w:val="22"/>
              </w:rPr>
              <w:t>consumers</w:t>
            </w:r>
            <w:r w:rsidR="00874E3E">
              <w:rPr>
                <w:rFonts w:ascii="Open Sans Light" w:hAnsi="Open Sans Light"/>
                <w:sz w:val="22"/>
              </w:rPr>
              <w:t xml:space="preserve"> </w:t>
            </w:r>
            <w:r>
              <w:rPr>
                <w:rFonts w:ascii="Open Sans Light" w:hAnsi="Open Sans Light"/>
                <w:sz w:val="22"/>
              </w:rPr>
              <w:t xml:space="preserve">taking the view that </w:t>
            </w:r>
            <w:r w:rsidR="006F7109">
              <w:rPr>
                <w:rFonts w:ascii="Open Sans Light" w:hAnsi="Open Sans Light"/>
                <w:sz w:val="22"/>
              </w:rPr>
              <w:t xml:space="preserve">health </w:t>
            </w:r>
            <w:r>
              <w:rPr>
                <w:rFonts w:ascii="Open Sans Light" w:hAnsi="Open Sans Light"/>
                <w:sz w:val="22"/>
              </w:rPr>
              <w:t xml:space="preserve">problems, should they occur, are better managed </w:t>
            </w:r>
            <w:r w:rsidR="00802AB8">
              <w:rPr>
                <w:rFonts w:ascii="Open Sans Light" w:hAnsi="Open Sans Light"/>
                <w:sz w:val="22"/>
              </w:rPr>
              <w:t>at home</w:t>
            </w:r>
            <w:r>
              <w:rPr>
                <w:rFonts w:ascii="Open Sans Light" w:hAnsi="Open Sans Light"/>
                <w:sz w:val="22"/>
              </w:rPr>
              <w:t>.</w:t>
            </w:r>
            <w:r w:rsidR="00570E27">
              <w:rPr>
                <w:rFonts w:ascii="Open Sans Light" w:hAnsi="Open Sans Light"/>
                <w:sz w:val="22"/>
              </w:rPr>
              <w:t xml:space="preserve"> The UK government advice remains to avoid “all but essential international travel”</w:t>
            </w:r>
            <w:r w:rsidR="00370198">
              <w:rPr>
                <w:rFonts w:ascii="Open Sans Light" w:hAnsi="Open Sans Light"/>
                <w:sz w:val="22"/>
              </w:rPr>
              <w:t>.</w:t>
            </w:r>
            <w:r w:rsidR="006F7109">
              <w:rPr>
                <w:rFonts w:ascii="Open Sans Light" w:hAnsi="Open Sans Light"/>
                <w:sz w:val="22"/>
              </w:rPr>
              <w:t xml:space="preserve"> A change in Foreign office advice on international travel could </w:t>
            </w:r>
            <w:r w:rsidR="00B02620">
              <w:rPr>
                <w:rFonts w:ascii="Open Sans Light" w:hAnsi="Open Sans Light"/>
                <w:sz w:val="22"/>
              </w:rPr>
              <w:t>occur</w:t>
            </w:r>
            <w:r w:rsidR="006F7109">
              <w:rPr>
                <w:rFonts w:ascii="Open Sans Light" w:hAnsi="Open Sans Light"/>
                <w:sz w:val="22"/>
              </w:rPr>
              <w:t xml:space="preserve"> in August</w:t>
            </w:r>
            <w:r w:rsidR="00B02620">
              <w:rPr>
                <w:rFonts w:ascii="Open Sans Light" w:hAnsi="Open Sans Light"/>
                <w:sz w:val="22"/>
              </w:rPr>
              <w:t xml:space="preserve"> 2020. </w:t>
            </w:r>
          </w:p>
          <w:p w14:paraId="3D045690" w14:textId="617B5851" w:rsidR="00505AE2" w:rsidRDefault="005C2672" w:rsidP="00A05175">
            <w:pPr>
              <w:spacing w:before="120" w:after="120"/>
              <w:jc w:val="both"/>
              <w:rPr>
                <w:rFonts w:ascii="Open Sans Light" w:hAnsi="Open Sans Light"/>
                <w:sz w:val="22"/>
              </w:rPr>
            </w:pPr>
            <w:r>
              <w:rPr>
                <w:rFonts w:ascii="Open Sans Light" w:hAnsi="Open Sans Light"/>
                <w:sz w:val="22"/>
              </w:rPr>
              <w:t xml:space="preserve">The airlines’ </w:t>
            </w:r>
            <w:r w:rsidR="00874E3E">
              <w:rPr>
                <w:rFonts w:ascii="Open Sans Light" w:hAnsi="Open Sans Light"/>
                <w:sz w:val="22"/>
              </w:rPr>
              <w:t xml:space="preserve">public </w:t>
            </w:r>
            <w:r>
              <w:rPr>
                <w:rFonts w:ascii="Open Sans Light" w:hAnsi="Open Sans Light"/>
                <w:sz w:val="22"/>
              </w:rPr>
              <w:t>response has been</w:t>
            </w:r>
            <w:r w:rsidR="00874E3E">
              <w:rPr>
                <w:rFonts w:ascii="Open Sans Light" w:hAnsi="Open Sans Light"/>
                <w:sz w:val="22"/>
              </w:rPr>
              <w:t xml:space="preserve"> consistent </w:t>
            </w:r>
            <w:r>
              <w:rPr>
                <w:rFonts w:ascii="Open Sans Light" w:hAnsi="Open Sans Light"/>
                <w:sz w:val="22"/>
              </w:rPr>
              <w:t>that demand recovery</w:t>
            </w:r>
            <w:r w:rsidR="006F7109">
              <w:rPr>
                <w:rFonts w:ascii="Open Sans Light" w:hAnsi="Open Sans Light"/>
                <w:sz w:val="22"/>
              </w:rPr>
              <w:t xml:space="preserve"> (to 2019 levels)</w:t>
            </w:r>
            <w:r>
              <w:rPr>
                <w:rFonts w:ascii="Open Sans Light" w:hAnsi="Open Sans Light"/>
                <w:sz w:val="22"/>
              </w:rPr>
              <w:t xml:space="preserve"> </w:t>
            </w:r>
            <w:r w:rsidR="00874E3E">
              <w:rPr>
                <w:rFonts w:ascii="Open Sans Light" w:hAnsi="Open Sans Light"/>
                <w:sz w:val="22"/>
              </w:rPr>
              <w:t>could</w:t>
            </w:r>
            <w:r>
              <w:rPr>
                <w:rFonts w:ascii="Open Sans Light" w:hAnsi="Open Sans Light"/>
                <w:sz w:val="22"/>
              </w:rPr>
              <w:t xml:space="preserve"> take to 2022-2023.</w:t>
            </w:r>
            <w:r w:rsidR="00056EE1">
              <w:rPr>
                <w:rFonts w:ascii="Open Sans Light" w:hAnsi="Open Sans Light"/>
                <w:sz w:val="22"/>
              </w:rPr>
              <w:t xml:space="preserve"> IATA do not expect a return to 2019</w:t>
            </w:r>
            <w:r w:rsidR="006F7109">
              <w:rPr>
                <w:rFonts w:ascii="Open Sans Light" w:hAnsi="Open Sans Light"/>
                <w:sz w:val="22"/>
              </w:rPr>
              <w:t xml:space="preserve"> volumes</w:t>
            </w:r>
            <w:r w:rsidR="00056EE1">
              <w:rPr>
                <w:rFonts w:ascii="Open Sans Light" w:hAnsi="Open Sans Light"/>
                <w:sz w:val="22"/>
              </w:rPr>
              <w:t xml:space="preserve"> until 2024.</w:t>
            </w:r>
            <w:r>
              <w:rPr>
                <w:rFonts w:ascii="Open Sans Light" w:hAnsi="Open Sans Light"/>
                <w:sz w:val="22"/>
              </w:rPr>
              <w:t xml:space="preserve"> Restructuring activity is underway</w:t>
            </w:r>
            <w:r w:rsidR="00B02620">
              <w:rPr>
                <w:rFonts w:ascii="Open Sans Light" w:hAnsi="Open Sans Light"/>
                <w:sz w:val="22"/>
              </w:rPr>
              <w:t xml:space="preserve"> and early stage</w:t>
            </w:r>
            <w:r>
              <w:rPr>
                <w:rFonts w:ascii="Open Sans Light" w:hAnsi="Open Sans Light"/>
                <w:sz w:val="22"/>
              </w:rPr>
              <w:t>, with workforce and hub/ network reductions.</w:t>
            </w:r>
          </w:p>
          <w:p w14:paraId="2704F93B" w14:textId="3970CFD0" w:rsidR="00370198" w:rsidRDefault="00370198" w:rsidP="00A05175">
            <w:pPr>
              <w:spacing w:before="120" w:after="120"/>
              <w:jc w:val="both"/>
              <w:rPr>
                <w:rFonts w:ascii="Open Sans Light" w:hAnsi="Open Sans Light"/>
                <w:sz w:val="22"/>
              </w:rPr>
            </w:pPr>
            <w:r>
              <w:rPr>
                <w:rFonts w:ascii="Open Sans Light" w:hAnsi="Open Sans Light"/>
                <w:sz w:val="22"/>
              </w:rPr>
              <w:t xml:space="preserve">We view </w:t>
            </w:r>
            <w:r w:rsidR="0085161C">
              <w:rPr>
                <w:rFonts w:ascii="Open Sans Light" w:hAnsi="Open Sans Light"/>
                <w:sz w:val="22"/>
              </w:rPr>
              <w:t xml:space="preserve">positively </w:t>
            </w:r>
            <w:r>
              <w:rPr>
                <w:rFonts w:ascii="Open Sans Light" w:hAnsi="Open Sans Light"/>
                <w:sz w:val="22"/>
              </w:rPr>
              <w:t xml:space="preserve">the judicial review (BA/ </w:t>
            </w:r>
            <w:proofErr w:type="spellStart"/>
            <w:r>
              <w:rPr>
                <w:rFonts w:ascii="Open Sans Light" w:hAnsi="Open Sans Light"/>
                <w:sz w:val="22"/>
              </w:rPr>
              <w:t>easyjet</w:t>
            </w:r>
            <w:proofErr w:type="spellEnd"/>
            <w:r>
              <w:rPr>
                <w:rFonts w:ascii="Open Sans Light" w:hAnsi="Open Sans Light"/>
                <w:sz w:val="22"/>
              </w:rPr>
              <w:t xml:space="preserve"> ad Ryanair v UK government) of the </w:t>
            </w:r>
            <w:proofErr w:type="gramStart"/>
            <w:r>
              <w:rPr>
                <w:rFonts w:ascii="Open Sans Light" w:hAnsi="Open Sans Light"/>
                <w:sz w:val="22"/>
              </w:rPr>
              <w:t>14 day</w:t>
            </w:r>
            <w:proofErr w:type="gramEnd"/>
            <w:r>
              <w:rPr>
                <w:rFonts w:ascii="Open Sans Light" w:hAnsi="Open Sans Light"/>
                <w:sz w:val="22"/>
              </w:rPr>
              <w:t xml:space="preserve"> quarantine rule. </w:t>
            </w:r>
            <w:r w:rsidR="0085161C">
              <w:rPr>
                <w:rFonts w:ascii="Open Sans Light" w:hAnsi="Open Sans Light"/>
                <w:sz w:val="22"/>
              </w:rPr>
              <w:t>The legal challenge is being heard on the 6</w:t>
            </w:r>
            <w:r w:rsidR="0085161C" w:rsidRPr="0085161C">
              <w:rPr>
                <w:rFonts w:ascii="Open Sans Light" w:hAnsi="Open Sans Light"/>
                <w:sz w:val="22"/>
                <w:vertAlign w:val="superscript"/>
              </w:rPr>
              <w:t>th</w:t>
            </w:r>
            <w:r w:rsidR="0085161C">
              <w:rPr>
                <w:rFonts w:ascii="Open Sans Light" w:hAnsi="Open Sans Light"/>
                <w:sz w:val="22"/>
              </w:rPr>
              <w:t xml:space="preserve"> July 2020 with a decision shortly thereafter. We expect the UK government’s insistence on the </w:t>
            </w:r>
            <w:proofErr w:type="gramStart"/>
            <w:r w:rsidR="0085161C">
              <w:rPr>
                <w:rFonts w:ascii="Open Sans Light" w:hAnsi="Open Sans Light"/>
                <w:sz w:val="22"/>
              </w:rPr>
              <w:t>14</w:t>
            </w:r>
            <w:r w:rsidR="00E32F7C">
              <w:rPr>
                <w:rFonts w:ascii="Open Sans Light" w:hAnsi="Open Sans Light"/>
                <w:sz w:val="22"/>
              </w:rPr>
              <w:t xml:space="preserve"> </w:t>
            </w:r>
            <w:r w:rsidR="0085161C">
              <w:rPr>
                <w:rFonts w:ascii="Open Sans Light" w:hAnsi="Open Sans Light"/>
                <w:sz w:val="22"/>
              </w:rPr>
              <w:t>day</w:t>
            </w:r>
            <w:proofErr w:type="gramEnd"/>
            <w:r w:rsidR="0085161C">
              <w:rPr>
                <w:rFonts w:ascii="Open Sans Light" w:hAnsi="Open Sans Light"/>
                <w:sz w:val="22"/>
              </w:rPr>
              <w:t xml:space="preserve"> quarantine (</w:t>
            </w:r>
            <w:r w:rsidR="00E32F7C">
              <w:rPr>
                <w:rFonts w:ascii="Open Sans Light" w:hAnsi="Open Sans Light"/>
                <w:sz w:val="22"/>
              </w:rPr>
              <w:t xml:space="preserve">for UK returnees </w:t>
            </w:r>
            <w:r w:rsidR="0085161C">
              <w:rPr>
                <w:rFonts w:ascii="Open Sans Light" w:hAnsi="Open Sans Light"/>
                <w:sz w:val="22"/>
              </w:rPr>
              <w:t>in place since 8</w:t>
            </w:r>
            <w:r w:rsidR="0085161C" w:rsidRPr="0085161C">
              <w:rPr>
                <w:rFonts w:ascii="Open Sans Light" w:hAnsi="Open Sans Light"/>
                <w:sz w:val="22"/>
                <w:vertAlign w:val="superscript"/>
              </w:rPr>
              <w:t>th</w:t>
            </w:r>
            <w:r w:rsidR="0085161C">
              <w:rPr>
                <w:rFonts w:ascii="Open Sans Light" w:hAnsi="Open Sans Light"/>
                <w:sz w:val="22"/>
              </w:rPr>
              <w:t xml:space="preserve"> June</w:t>
            </w:r>
            <w:r w:rsidR="00E32F7C">
              <w:rPr>
                <w:rFonts w:ascii="Open Sans Light" w:hAnsi="Open Sans Light"/>
                <w:sz w:val="22"/>
              </w:rPr>
              <w:t xml:space="preserve"> 2020</w:t>
            </w:r>
            <w:r w:rsidR="0085161C">
              <w:rPr>
                <w:rFonts w:ascii="Open Sans Light" w:hAnsi="Open Sans Light"/>
                <w:sz w:val="22"/>
              </w:rPr>
              <w:t xml:space="preserve">) as being “unreasonable” under the </w:t>
            </w:r>
            <w:proofErr w:type="spellStart"/>
            <w:r w:rsidR="0085161C">
              <w:rPr>
                <w:rFonts w:ascii="Open Sans Light" w:hAnsi="Open Sans Light"/>
                <w:sz w:val="22"/>
              </w:rPr>
              <w:t>Wednesbury</w:t>
            </w:r>
            <w:proofErr w:type="spellEnd"/>
            <w:r w:rsidR="0085161C">
              <w:rPr>
                <w:rFonts w:ascii="Open Sans Light" w:hAnsi="Open Sans Light"/>
                <w:sz w:val="22"/>
              </w:rPr>
              <w:t xml:space="preserve"> unreasonableness guidelines.</w:t>
            </w:r>
          </w:p>
          <w:p w14:paraId="3516A299" w14:textId="2F0B71DE" w:rsidR="005A7B21" w:rsidRPr="00370198" w:rsidRDefault="005A7B21" w:rsidP="00A05175">
            <w:pPr>
              <w:spacing w:before="120" w:after="120"/>
              <w:jc w:val="both"/>
              <w:rPr>
                <w:rFonts w:ascii="Open Sans Light" w:hAnsi="Open Sans Light"/>
                <w:b/>
                <w:bCs/>
                <w:sz w:val="22"/>
              </w:rPr>
            </w:pPr>
            <w:r w:rsidRPr="00370198">
              <w:rPr>
                <w:rFonts w:ascii="Open Sans Light" w:hAnsi="Open Sans Light"/>
                <w:b/>
                <w:bCs/>
                <w:sz w:val="22"/>
              </w:rPr>
              <w:t xml:space="preserve">Statements </w:t>
            </w:r>
            <w:r w:rsidR="00505AE2" w:rsidRPr="00370198">
              <w:rPr>
                <w:rFonts w:ascii="Open Sans Light" w:hAnsi="Open Sans Light"/>
                <w:b/>
                <w:bCs/>
                <w:sz w:val="22"/>
              </w:rPr>
              <w:t xml:space="preserve">from the airlines on forecast openings </w:t>
            </w:r>
            <w:r w:rsidR="00874E3E" w:rsidRPr="00370198">
              <w:rPr>
                <w:rFonts w:ascii="Open Sans Light" w:hAnsi="Open Sans Light"/>
                <w:b/>
                <w:bCs/>
                <w:sz w:val="22"/>
              </w:rPr>
              <w:t>over Q3 and Q4 2020</w:t>
            </w:r>
          </w:p>
          <w:tbl>
            <w:tblPr>
              <w:tblStyle w:val="TableGrid"/>
              <w:tblW w:w="0" w:type="auto"/>
              <w:tblLayout w:type="fixed"/>
              <w:tblLook w:val="04A0" w:firstRow="1" w:lastRow="0" w:firstColumn="1" w:lastColumn="0" w:noHBand="0" w:noVBand="1"/>
            </w:tblPr>
            <w:tblGrid>
              <w:gridCol w:w="1827"/>
              <w:gridCol w:w="1828"/>
              <w:gridCol w:w="1828"/>
              <w:gridCol w:w="1828"/>
            </w:tblGrid>
            <w:tr w:rsidR="00570E27" w14:paraId="0C40EA56" w14:textId="77777777" w:rsidTr="004D2579">
              <w:tc>
                <w:tcPr>
                  <w:tcW w:w="1827" w:type="dxa"/>
                </w:tcPr>
                <w:p w14:paraId="73C1B666" w14:textId="13F3623F" w:rsidR="00570E27" w:rsidRDefault="00570E27" w:rsidP="00A05175">
                  <w:pPr>
                    <w:spacing w:before="120" w:after="120"/>
                    <w:jc w:val="both"/>
                    <w:rPr>
                      <w:rFonts w:ascii="Open Sans Light" w:hAnsi="Open Sans Light"/>
                      <w:sz w:val="22"/>
                    </w:rPr>
                  </w:pPr>
                  <w:r>
                    <w:rPr>
                      <w:rFonts w:ascii="Open Sans Light" w:hAnsi="Open Sans Light"/>
                      <w:sz w:val="22"/>
                    </w:rPr>
                    <w:t>Airline</w:t>
                  </w:r>
                </w:p>
              </w:tc>
              <w:tc>
                <w:tcPr>
                  <w:tcW w:w="1828" w:type="dxa"/>
                </w:tcPr>
                <w:p w14:paraId="697F55B9" w14:textId="109495F5" w:rsidR="00570E27" w:rsidRDefault="00570E27" w:rsidP="00A05175">
                  <w:pPr>
                    <w:spacing w:before="120" w:after="120"/>
                    <w:jc w:val="both"/>
                    <w:rPr>
                      <w:rFonts w:ascii="Open Sans Light" w:hAnsi="Open Sans Light"/>
                      <w:sz w:val="22"/>
                    </w:rPr>
                  </w:pPr>
                  <w:r>
                    <w:rPr>
                      <w:rFonts w:ascii="Open Sans Light" w:hAnsi="Open Sans Light"/>
                      <w:sz w:val="22"/>
                    </w:rPr>
                    <w:t>Resumption Date</w:t>
                  </w:r>
                </w:p>
              </w:tc>
              <w:tc>
                <w:tcPr>
                  <w:tcW w:w="1828" w:type="dxa"/>
                </w:tcPr>
                <w:p w14:paraId="55087EFC" w14:textId="3525658F" w:rsidR="00570E27" w:rsidRDefault="00AF5842" w:rsidP="00A05175">
                  <w:pPr>
                    <w:spacing w:before="120" w:after="120"/>
                    <w:jc w:val="both"/>
                    <w:rPr>
                      <w:rFonts w:ascii="Open Sans Light" w:hAnsi="Open Sans Light"/>
                      <w:sz w:val="22"/>
                    </w:rPr>
                  </w:pPr>
                  <w:r>
                    <w:rPr>
                      <w:rFonts w:ascii="Open Sans Light" w:hAnsi="Open Sans Light"/>
                      <w:sz w:val="22"/>
                    </w:rPr>
                    <w:t xml:space="preserve">Forecast </w:t>
                  </w:r>
                  <w:r w:rsidR="005A7B21">
                    <w:rPr>
                      <w:rFonts w:ascii="Open Sans Light" w:hAnsi="Open Sans Light"/>
                      <w:sz w:val="22"/>
                    </w:rPr>
                    <w:t>Capacity usage: July</w:t>
                  </w:r>
                  <w:r w:rsidR="00874E3E">
                    <w:rPr>
                      <w:rFonts w:ascii="Open Sans Light" w:hAnsi="Open Sans Light"/>
                      <w:sz w:val="22"/>
                    </w:rPr>
                    <w:t xml:space="preserve"> ‘20</w:t>
                  </w:r>
                </w:p>
              </w:tc>
              <w:tc>
                <w:tcPr>
                  <w:tcW w:w="1828" w:type="dxa"/>
                </w:tcPr>
                <w:p w14:paraId="41FC6F26" w14:textId="5E335011" w:rsidR="00570E27" w:rsidRDefault="00AF5842" w:rsidP="00A05175">
                  <w:pPr>
                    <w:spacing w:before="120" w:after="120"/>
                    <w:jc w:val="both"/>
                    <w:rPr>
                      <w:rFonts w:ascii="Open Sans Light" w:hAnsi="Open Sans Light"/>
                      <w:sz w:val="22"/>
                    </w:rPr>
                  </w:pPr>
                  <w:r>
                    <w:rPr>
                      <w:rFonts w:ascii="Open Sans Light" w:hAnsi="Open Sans Light"/>
                      <w:sz w:val="22"/>
                    </w:rPr>
                    <w:t xml:space="preserve">Forecast </w:t>
                  </w:r>
                  <w:r w:rsidR="005A7B21">
                    <w:rPr>
                      <w:rFonts w:ascii="Open Sans Light" w:hAnsi="Open Sans Light"/>
                      <w:sz w:val="22"/>
                    </w:rPr>
                    <w:t>Capacity usage:</w:t>
                  </w:r>
                  <w:r w:rsidR="00874E3E">
                    <w:rPr>
                      <w:rFonts w:ascii="Open Sans Light" w:hAnsi="Open Sans Light"/>
                      <w:sz w:val="22"/>
                    </w:rPr>
                    <w:t xml:space="preserve"> </w:t>
                  </w:r>
                  <w:r w:rsidR="005A7B21">
                    <w:rPr>
                      <w:rFonts w:ascii="Open Sans Light" w:hAnsi="Open Sans Light"/>
                      <w:sz w:val="22"/>
                    </w:rPr>
                    <w:t>August</w:t>
                  </w:r>
                  <w:r w:rsidR="00874E3E">
                    <w:rPr>
                      <w:rFonts w:ascii="Open Sans Light" w:hAnsi="Open Sans Light"/>
                      <w:sz w:val="22"/>
                    </w:rPr>
                    <w:t xml:space="preserve"> ‘20</w:t>
                  </w:r>
                </w:p>
              </w:tc>
            </w:tr>
            <w:tr w:rsidR="00570E27" w14:paraId="3062052B" w14:textId="77777777" w:rsidTr="004D2579">
              <w:tc>
                <w:tcPr>
                  <w:tcW w:w="1827" w:type="dxa"/>
                </w:tcPr>
                <w:p w14:paraId="316A9D71" w14:textId="3DF9EFFC" w:rsidR="00570E27" w:rsidRDefault="007001C6" w:rsidP="00A05175">
                  <w:pPr>
                    <w:spacing w:before="120" w:after="120"/>
                    <w:jc w:val="both"/>
                    <w:rPr>
                      <w:rFonts w:ascii="Open Sans Light" w:hAnsi="Open Sans Light"/>
                      <w:sz w:val="22"/>
                    </w:rPr>
                  </w:pPr>
                  <w:r>
                    <w:rPr>
                      <w:rFonts w:ascii="Open Sans Light" w:hAnsi="Open Sans Light"/>
                      <w:sz w:val="22"/>
                    </w:rPr>
                    <w:t>Dart Group</w:t>
                  </w:r>
                </w:p>
              </w:tc>
              <w:tc>
                <w:tcPr>
                  <w:tcW w:w="1828" w:type="dxa"/>
                </w:tcPr>
                <w:p w14:paraId="6226B45E" w14:textId="5060A009" w:rsidR="00060A52" w:rsidRDefault="007001C6" w:rsidP="00A05175">
                  <w:pPr>
                    <w:spacing w:before="120" w:after="120"/>
                    <w:jc w:val="both"/>
                    <w:rPr>
                      <w:rFonts w:ascii="Open Sans Light" w:hAnsi="Open Sans Light"/>
                      <w:sz w:val="22"/>
                    </w:rPr>
                  </w:pPr>
                  <w:r>
                    <w:rPr>
                      <w:rFonts w:ascii="Open Sans Light" w:hAnsi="Open Sans Light"/>
                      <w:sz w:val="22"/>
                    </w:rPr>
                    <w:t>15</w:t>
                  </w:r>
                  <w:r w:rsidRPr="007001C6">
                    <w:rPr>
                      <w:rFonts w:ascii="Open Sans Light" w:hAnsi="Open Sans Light"/>
                      <w:sz w:val="22"/>
                      <w:vertAlign w:val="superscript"/>
                    </w:rPr>
                    <w:t>th</w:t>
                  </w:r>
                  <w:r>
                    <w:rPr>
                      <w:rFonts w:ascii="Open Sans Light" w:hAnsi="Open Sans Light"/>
                      <w:sz w:val="22"/>
                    </w:rPr>
                    <w:t xml:space="preserve"> July</w:t>
                  </w:r>
                </w:p>
              </w:tc>
              <w:tc>
                <w:tcPr>
                  <w:tcW w:w="1828" w:type="dxa"/>
                </w:tcPr>
                <w:p w14:paraId="01E25C75" w14:textId="25E85C1A" w:rsidR="00570E27" w:rsidRDefault="007001C6" w:rsidP="00A05175">
                  <w:pPr>
                    <w:spacing w:before="120" w:after="120"/>
                    <w:jc w:val="both"/>
                    <w:rPr>
                      <w:rFonts w:ascii="Open Sans Light" w:hAnsi="Open Sans Light"/>
                      <w:sz w:val="22"/>
                    </w:rPr>
                  </w:pPr>
                  <w:r>
                    <w:rPr>
                      <w:rFonts w:ascii="Open Sans Light" w:hAnsi="Open Sans Light"/>
                      <w:sz w:val="22"/>
                    </w:rPr>
                    <w:t>-</w:t>
                  </w:r>
                </w:p>
              </w:tc>
              <w:tc>
                <w:tcPr>
                  <w:tcW w:w="1828" w:type="dxa"/>
                </w:tcPr>
                <w:p w14:paraId="6401B3F7" w14:textId="5E221B53" w:rsidR="00570E27" w:rsidRDefault="007001C6" w:rsidP="00A05175">
                  <w:pPr>
                    <w:spacing w:before="120" w:after="120"/>
                    <w:jc w:val="both"/>
                    <w:rPr>
                      <w:rFonts w:ascii="Open Sans Light" w:hAnsi="Open Sans Light"/>
                      <w:sz w:val="22"/>
                    </w:rPr>
                  </w:pPr>
                  <w:r>
                    <w:rPr>
                      <w:rFonts w:ascii="Open Sans Light" w:hAnsi="Open Sans Light"/>
                      <w:sz w:val="22"/>
                    </w:rPr>
                    <w:t>-</w:t>
                  </w:r>
                </w:p>
              </w:tc>
            </w:tr>
            <w:tr w:rsidR="007001C6" w14:paraId="71B9BEC0" w14:textId="77777777" w:rsidTr="004D2579">
              <w:tc>
                <w:tcPr>
                  <w:tcW w:w="1827" w:type="dxa"/>
                </w:tcPr>
                <w:p w14:paraId="3B6D0575" w14:textId="7336E9D2" w:rsidR="007001C6" w:rsidRDefault="007001C6" w:rsidP="007001C6">
                  <w:pPr>
                    <w:spacing w:before="120" w:after="120"/>
                    <w:jc w:val="both"/>
                    <w:rPr>
                      <w:rFonts w:ascii="Open Sans Light" w:hAnsi="Open Sans Light"/>
                      <w:sz w:val="22"/>
                    </w:rPr>
                  </w:pPr>
                  <w:proofErr w:type="spellStart"/>
                  <w:r>
                    <w:rPr>
                      <w:rFonts w:ascii="Open Sans Light" w:hAnsi="Open Sans Light"/>
                      <w:sz w:val="22"/>
                    </w:rPr>
                    <w:t>Easyjet</w:t>
                  </w:r>
                  <w:proofErr w:type="spellEnd"/>
                </w:p>
              </w:tc>
              <w:tc>
                <w:tcPr>
                  <w:tcW w:w="1828" w:type="dxa"/>
                </w:tcPr>
                <w:p w14:paraId="6077343E" w14:textId="68E0779F" w:rsidR="007001C6" w:rsidRDefault="007001C6" w:rsidP="007001C6">
                  <w:pPr>
                    <w:spacing w:before="120" w:after="120"/>
                    <w:jc w:val="both"/>
                    <w:rPr>
                      <w:rFonts w:ascii="Open Sans Light" w:hAnsi="Open Sans Light"/>
                      <w:sz w:val="22"/>
                    </w:rPr>
                  </w:pPr>
                  <w:r>
                    <w:rPr>
                      <w:rFonts w:ascii="Open Sans Light" w:hAnsi="Open Sans Light"/>
                      <w:sz w:val="22"/>
                    </w:rPr>
                    <w:t>17 June</w:t>
                  </w:r>
                </w:p>
              </w:tc>
              <w:tc>
                <w:tcPr>
                  <w:tcW w:w="1828" w:type="dxa"/>
                </w:tcPr>
                <w:p w14:paraId="581C0716" w14:textId="46DA9877" w:rsidR="007001C6" w:rsidRDefault="007001C6" w:rsidP="007001C6">
                  <w:pPr>
                    <w:spacing w:before="120" w:after="120"/>
                    <w:jc w:val="both"/>
                    <w:rPr>
                      <w:rFonts w:ascii="Open Sans Light" w:hAnsi="Open Sans Light"/>
                      <w:sz w:val="22"/>
                    </w:rPr>
                  </w:pPr>
                  <w:r>
                    <w:rPr>
                      <w:rFonts w:ascii="Open Sans Light" w:hAnsi="Open Sans Light"/>
                      <w:sz w:val="22"/>
                    </w:rPr>
                    <w:t xml:space="preserve">50% of normal </w:t>
                  </w:r>
                </w:p>
              </w:tc>
              <w:tc>
                <w:tcPr>
                  <w:tcW w:w="1828" w:type="dxa"/>
                </w:tcPr>
                <w:p w14:paraId="4648CBA8" w14:textId="6E19D9F1" w:rsidR="007001C6" w:rsidRDefault="007001C6" w:rsidP="007001C6">
                  <w:pPr>
                    <w:spacing w:before="120" w:after="120"/>
                    <w:jc w:val="both"/>
                    <w:rPr>
                      <w:rFonts w:ascii="Open Sans Light" w:hAnsi="Open Sans Light"/>
                      <w:sz w:val="22"/>
                    </w:rPr>
                  </w:pPr>
                  <w:r>
                    <w:rPr>
                      <w:rFonts w:ascii="Open Sans Light" w:hAnsi="Open Sans Light"/>
                      <w:sz w:val="22"/>
                    </w:rPr>
                    <w:t>75% of normal</w:t>
                  </w:r>
                </w:p>
              </w:tc>
            </w:tr>
            <w:tr w:rsidR="007001C6" w14:paraId="5072FF9D" w14:textId="77777777" w:rsidTr="004D2579">
              <w:tc>
                <w:tcPr>
                  <w:tcW w:w="1827" w:type="dxa"/>
                </w:tcPr>
                <w:p w14:paraId="7B9473E7" w14:textId="70CAEF14" w:rsidR="007001C6" w:rsidRDefault="007001C6" w:rsidP="007001C6">
                  <w:pPr>
                    <w:spacing w:before="120" w:after="120"/>
                    <w:jc w:val="both"/>
                    <w:rPr>
                      <w:rFonts w:ascii="Open Sans Light" w:hAnsi="Open Sans Light"/>
                      <w:sz w:val="22"/>
                    </w:rPr>
                  </w:pPr>
                  <w:r>
                    <w:rPr>
                      <w:rFonts w:ascii="Open Sans Light" w:hAnsi="Open Sans Light"/>
                      <w:sz w:val="22"/>
                    </w:rPr>
                    <w:t>IAG</w:t>
                  </w:r>
                </w:p>
              </w:tc>
              <w:tc>
                <w:tcPr>
                  <w:tcW w:w="1828" w:type="dxa"/>
                </w:tcPr>
                <w:p w14:paraId="092F6845" w14:textId="3442CE46" w:rsidR="007001C6" w:rsidRDefault="007001C6" w:rsidP="007001C6">
                  <w:pPr>
                    <w:spacing w:before="120" w:after="120"/>
                    <w:jc w:val="both"/>
                    <w:rPr>
                      <w:rFonts w:ascii="Open Sans Light" w:hAnsi="Open Sans Light"/>
                      <w:sz w:val="22"/>
                    </w:rPr>
                  </w:pPr>
                  <w:r>
                    <w:rPr>
                      <w:rFonts w:ascii="Open Sans Light" w:hAnsi="Open Sans Light"/>
                      <w:sz w:val="22"/>
                    </w:rPr>
                    <w:t xml:space="preserve"> 1 August (Gatwick) </w:t>
                  </w:r>
                </w:p>
              </w:tc>
              <w:tc>
                <w:tcPr>
                  <w:tcW w:w="1828" w:type="dxa"/>
                </w:tcPr>
                <w:p w14:paraId="7ABFE293" w14:textId="01F01E96" w:rsidR="007001C6" w:rsidRDefault="007001C6" w:rsidP="007001C6">
                  <w:pPr>
                    <w:spacing w:before="120" w:after="120"/>
                    <w:jc w:val="both"/>
                    <w:rPr>
                      <w:rFonts w:ascii="Open Sans Light" w:hAnsi="Open Sans Light"/>
                      <w:sz w:val="22"/>
                    </w:rPr>
                  </w:pPr>
                  <w:r>
                    <w:rPr>
                      <w:rFonts w:ascii="Open Sans Light" w:hAnsi="Open Sans Light"/>
                      <w:sz w:val="22"/>
                    </w:rPr>
                    <w:t>50% of normal</w:t>
                  </w:r>
                </w:p>
              </w:tc>
              <w:tc>
                <w:tcPr>
                  <w:tcW w:w="1828" w:type="dxa"/>
                </w:tcPr>
                <w:p w14:paraId="2E64147E" w14:textId="73D21B15" w:rsidR="007001C6" w:rsidRDefault="007001C6" w:rsidP="007001C6">
                  <w:pPr>
                    <w:spacing w:before="120" w:after="120"/>
                    <w:jc w:val="both"/>
                    <w:rPr>
                      <w:rFonts w:ascii="Open Sans Light" w:hAnsi="Open Sans Light"/>
                      <w:sz w:val="22"/>
                    </w:rPr>
                  </w:pPr>
                  <w:r>
                    <w:rPr>
                      <w:rFonts w:ascii="Open Sans Light" w:hAnsi="Open Sans Light"/>
                      <w:sz w:val="22"/>
                    </w:rPr>
                    <w:t>70% (Q4 2020)</w:t>
                  </w:r>
                </w:p>
              </w:tc>
            </w:tr>
            <w:tr w:rsidR="005A7B21" w14:paraId="0268A209" w14:textId="77777777" w:rsidTr="004D2579">
              <w:tc>
                <w:tcPr>
                  <w:tcW w:w="1827" w:type="dxa"/>
                </w:tcPr>
                <w:p w14:paraId="4A74EF9C" w14:textId="2C6AB0E3" w:rsidR="005A7B21" w:rsidRDefault="005A7B21" w:rsidP="00A05175">
                  <w:pPr>
                    <w:spacing w:before="120" w:after="120"/>
                    <w:jc w:val="both"/>
                    <w:rPr>
                      <w:rFonts w:ascii="Open Sans Light" w:hAnsi="Open Sans Light"/>
                      <w:sz w:val="22"/>
                    </w:rPr>
                  </w:pPr>
                  <w:r>
                    <w:rPr>
                      <w:rFonts w:ascii="Open Sans Light" w:hAnsi="Open Sans Light"/>
                      <w:sz w:val="22"/>
                    </w:rPr>
                    <w:t>Ryanair</w:t>
                  </w:r>
                </w:p>
              </w:tc>
              <w:tc>
                <w:tcPr>
                  <w:tcW w:w="1828" w:type="dxa"/>
                </w:tcPr>
                <w:p w14:paraId="031914DC" w14:textId="5BF7609D" w:rsidR="005A7B21" w:rsidRDefault="005A7B21" w:rsidP="00A05175">
                  <w:pPr>
                    <w:spacing w:before="120" w:after="120"/>
                    <w:jc w:val="both"/>
                    <w:rPr>
                      <w:rFonts w:ascii="Open Sans Light" w:hAnsi="Open Sans Light"/>
                      <w:sz w:val="22"/>
                    </w:rPr>
                  </w:pPr>
                  <w:r>
                    <w:rPr>
                      <w:rFonts w:ascii="Open Sans Light" w:hAnsi="Open Sans Light"/>
                      <w:sz w:val="22"/>
                    </w:rPr>
                    <w:t>1 July</w:t>
                  </w:r>
                </w:p>
              </w:tc>
              <w:tc>
                <w:tcPr>
                  <w:tcW w:w="1828" w:type="dxa"/>
                </w:tcPr>
                <w:p w14:paraId="7441DF96" w14:textId="12DA9589" w:rsidR="005A7B21" w:rsidRDefault="00AF5842" w:rsidP="00A05175">
                  <w:pPr>
                    <w:spacing w:before="120" w:after="120"/>
                    <w:jc w:val="both"/>
                    <w:rPr>
                      <w:rFonts w:ascii="Open Sans Light" w:hAnsi="Open Sans Light"/>
                      <w:sz w:val="22"/>
                    </w:rPr>
                  </w:pPr>
                  <w:r>
                    <w:rPr>
                      <w:rFonts w:ascii="Open Sans Light" w:hAnsi="Open Sans Light"/>
                      <w:sz w:val="22"/>
                    </w:rPr>
                    <w:t>4</w:t>
                  </w:r>
                  <w:r w:rsidR="005A7B21">
                    <w:rPr>
                      <w:rFonts w:ascii="Open Sans Light" w:hAnsi="Open Sans Light"/>
                      <w:sz w:val="22"/>
                    </w:rPr>
                    <w:t>0% of normal</w:t>
                  </w:r>
                  <w:r>
                    <w:rPr>
                      <w:rFonts w:ascii="Open Sans Light" w:hAnsi="Open Sans Light"/>
                      <w:sz w:val="22"/>
                    </w:rPr>
                    <w:t xml:space="preserve"> (Q3 2020)</w:t>
                  </w:r>
                </w:p>
              </w:tc>
              <w:tc>
                <w:tcPr>
                  <w:tcW w:w="1828" w:type="dxa"/>
                </w:tcPr>
                <w:p w14:paraId="1E2B6905" w14:textId="255155A1" w:rsidR="005A7B21" w:rsidRDefault="00E80C92" w:rsidP="00A05175">
                  <w:pPr>
                    <w:spacing w:before="120" w:after="120"/>
                    <w:jc w:val="both"/>
                    <w:rPr>
                      <w:rFonts w:ascii="Open Sans Light" w:hAnsi="Open Sans Light"/>
                      <w:sz w:val="22"/>
                    </w:rPr>
                  </w:pPr>
                  <w:r>
                    <w:rPr>
                      <w:rFonts w:ascii="Open Sans Light" w:hAnsi="Open Sans Light"/>
                      <w:sz w:val="22"/>
                    </w:rPr>
                    <w:t>-</w:t>
                  </w:r>
                </w:p>
              </w:tc>
            </w:tr>
            <w:tr w:rsidR="00570E27" w14:paraId="43D9CE70" w14:textId="77777777" w:rsidTr="004D2579">
              <w:tc>
                <w:tcPr>
                  <w:tcW w:w="1827" w:type="dxa"/>
                </w:tcPr>
                <w:p w14:paraId="7DD7B9F7" w14:textId="1762970E" w:rsidR="00570E27" w:rsidRDefault="005A7B21" w:rsidP="00A05175">
                  <w:pPr>
                    <w:spacing w:before="120" w:after="120"/>
                    <w:jc w:val="both"/>
                    <w:rPr>
                      <w:rFonts w:ascii="Open Sans Light" w:hAnsi="Open Sans Light"/>
                      <w:sz w:val="22"/>
                    </w:rPr>
                  </w:pPr>
                  <w:r>
                    <w:rPr>
                      <w:rFonts w:ascii="Open Sans Light" w:hAnsi="Open Sans Light"/>
                      <w:sz w:val="22"/>
                    </w:rPr>
                    <w:t>Virgin Atlantic</w:t>
                  </w:r>
                </w:p>
              </w:tc>
              <w:tc>
                <w:tcPr>
                  <w:tcW w:w="1828" w:type="dxa"/>
                </w:tcPr>
                <w:p w14:paraId="5806406D" w14:textId="060F690D" w:rsidR="00570E27" w:rsidRDefault="005A7B21" w:rsidP="00A05175">
                  <w:pPr>
                    <w:spacing w:before="120" w:after="120"/>
                    <w:jc w:val="both"/>
                    <w:rPr>
                      <w:rFonts w:ascii="Open Sans Light" w:hAnsi="Open Sans Light"/>
                      <w:sz w:val="22"/>
                    </w:rPr>
                  </w:pPr>
                  <w:r>
                    <w:rPr>
                      <w:rFonts w:ascii="Open Sans Light" w:hAnsi="Open Sans Light"/>
                      <w:sz w:val="22"/>
                    </w:rPr>
                    <w:t>2</w:t>
                  </w:r>
                  <w:r w:rsidR="00AF5842">
                    <w:rPr>
                      <w:rFonts w:ascii="Open Sans Light" w:hAnsi="Open Sans Light"/>
                      <w:sz w:val="22"/>
                    </w:rPr>
                    <w:t>0</w:t>
                  </w:r>
                  <w:r>
                    <w:rPr>
                      <w:rFonts w:ascii="Open Sans Light" w:hAnsi="Open Sans Light"/>
                      <w:sz w:val="22"/>
                    </w:rPr>
                    <w:t xml:space="preserve"> July</w:t>
                  </w:r>
                </w:p>
              </w:tc>
              <w:tc>
                <w:tcPr>
                  <w:tcW w:w="1828" w:type="dxa"/>
                </w:tcPr>
                <w:p w14:paraId="02E26DA4" w14:textId="01A41890" w:rsidR="00570E27" w:rsidRDefault="001C344F" w:rsidP="00A05175">
                  <w:pPr>
                    <w:spacing w:before="120" w:after="120"/>
                    <w:jc w:val="both"/>
                    <w:rPr>
                      <w:rFonts w:ascii="Open Sans Light" w:hAnsi="Open Sans Light"/>
                      <w:sz w:val="22"/>
                    </w:rPr>
                  </w:pPr>
                  <w:r>
                    <w:rPr>
                      <w:rFonts w:ascii="Open Sans Light" w:hAnsi="Open Sans Light"/>
                      <w:sz w:val="22"/>
                    </w:rPr>
                    <w:t>None provided</w:t>
                  </w:r>
                </w:p>
              </w:tc>
              <w:tc>
                <w:tcPr>
                  <w:tcW w:w="1828" w:type="dxa"/>
                </w:tcPr>
                <w:p w14:paraId="4394F077" w14:textId="5CBD53C3" w:rsidR="00570E27" w:rsidRDefault="00505AE2" w:rsidP="00A05175">
                  <w:pPr>
                    <w:spacing w:before="120" w:after="120"/>
                    <w:jc w:val="both"/>
                    <w:rPr>
                      <w:rFonts w:ascii="Open Sans Light" w:hAnsi="Open Sans Light"/>
                      <w:sz w:val="22"/>
                    </w:rPr>
                  </w:pPr>
                  <w:r>
                    <w:rPr>
                      <w:rFonts w:ascii="Open Sans Light" w:hAnsi="Open Sans Light"/>
                      <w:sz w:val="22"/>
                    </w:rPr>
                    <w:t>-</w:t>
                  </w:r>
                </w:p>
              </w:tc>
            </w:tr>
            <w:tr w:rsidR="005A7B21" w14:paraId="51CCCD4B" w14:textId="77777777" w:rsidTr="004D2579">
              <w:tc>
                <w:tcPr>
                  <w:tcW w:w="1827" w:type="dxa"/>
                </w:tcPr>
                <w:p w14:paraId="0568FF02" w14:textId="0E701E2B" w:rsidR="005A7B21" w:rsidRDefault="005A7B21" w:rsidP="00A05175">
                  <w:pPr>
                    <w:spacing w:before="120" w:after="120"/>
                    <w:jc w:val="both"/>
                    <w:rPr>
                      <w:rFonts w:ascii="Open Sans Light" w:hAnsi="Open Sans Light"/>
                      <w:sz w:val="22"/>
                    </w:rPr>
                  </w:pPr>
                  <w:r>
                    <w:rPr>
                      <w:rFonts w:ascii="Open Sans Light" w:hAnsi="Open Sans Light"/>
                      <w:sz w:val="22"/>
                    </w:rPr>
                    <w:t>TUI</w:t>
                  </w:r>
                </w:p>
              </w:tc>
              <w:tc>
                <w:tcPr>
                  <w:tcW w:w="1828" w:type="dxa"/>
                </w:tcPr>
                <w:p w14:paraId="280BB590" w14:textId="2307B992" w:rsidR="005A7B21" w:rsidRDefault="005A7B21" w:rsidP="00A05175">
                  <w:pPr>
                    <w:spacing w:before="120" w:after="120"/>
                    <w:jc w:val="both"/>
                    <w:rPr>
                      <w:rFonts w:ascii="Open Sans Light" w:hAnsi="Open Sans Light"/>
                      <w:sz w:val="22"/>
                    </w:rPr>
                  </w:pPr>
                  <w:r>
                    <w:rPr>
                      <w:rFonts w:ascii="Open Sans Light" w:hAnsi="Open Sans Light"/>
                      <w:sz w:val="22"/>
                    </w:rPr>
                    <w:t>1</w:t>
                  </w:r>
                  <w:r w:rsidR="00060A52">
                    <w:rPr>
                      <w:rFonts w:ascii="Open Sans Light" w:hAnsi="Open Sans Light"/>
                      <w:sz w:val="22"/>
                    </w:rPr>
                    <w:t>1</w:t>
                  </w:r>
                  <w:r>
                    <w:rPr>
                      <w:rFonts w:ascii="Open Sans Light" w:hAnsi="Open Sans Light"/>
                      <w:sz w:val="22"/>
                    </w:rPr>
                    <w:t xml:space="preserve"> July</w:t>
                  </w:r>
                </w:p>
              </w:tc>
              <w:tc>
                <w:tcPr>
                  <w:tcW w:w="1828" w:type="dxa"/>
                </w:tcPr>
                <w:p w14:paraId="644113E0" w14:textId="796AF950" w:rsidR="005A7B21" w:rsidRDefault="001C344F" w:rsidP="00A05175">
                  <w:pPr>
                    <w:spacing w:before="120" w:after="120"/>
                    <w:jc w:val="both"/>
                    <w:rPr>
                      <w:rFonts w:ascii="Open Sans Light" w:hAnsi="Open Sans Light"/>
                      <w:sz w:val="22"/>
                    </w:rPr>
                  </w:pPr>
                  <w:r>
                    <w:rPr>
                      <w:rFonts w:ascii="Open Sans Light" w:hAnsi="Open Sans Light"/>
                      <w:sz w:val="22"/>
                    </w:rPr>
                    <w:t>None provided</w:t>
                  </w:r>
                </w:p>
              </w:tc>
              <w:tc>
                <w:tcPr>
                  <w:tcW w:w="1828" w:type="dxa"/>
                </w:tcPr>
                <w:p w14:paraId="2FA46BEA" w14:textId="6643437E" w:rsidR="005A7B21" w:rsidRDefault="00505AE2" w:rsidP="00A05175">
                  <w:pPr>
                    <w:spacing w:before="120" w:after="120"/>
                    <w:jc w:val="both"/>
                    <w:rPr>
                      <w:rFonts w:ascii="Open Sans Light" w:hAnsi="Open Sans Light"/>
                      <w:sz w:val="22"/>
                    </w:rPr>
                  </w:pPr>
                  <w:r>
                    <w:rPr>
                      <w:rFonts w:ascii="Open Sans Light" w:hAnsi="Open Sans Light"/>
                      <w:sz w:val="22"/>
                    </w:rPr>
                    <w:t>-</w:t>
                  </w:r>
                </w:p>
              </w:tc>
            </w:tr>
            <w:tr w:rsidR="005A7B21" w14:paraId="10FBC97A" w14:textId="77777777" w:rsidTr="004D2579">
              <w:tc>
                <w:tcPr>
                  <w:tcW w:w="1827" w:type="dxa"/>
                </w:tcPr>
                <w:p w14:paraId="0BDA3554" w14:textId="3547E8DC" w:rsidR="005A7B21" w:rsidRDefault="005A7B21" w:rsidP="00A05175">
                  <w:pPr>
                    <w:spacing w:before="120" w:after="120"/>
                    <w:jc w:val="both"/>
                    <w:rPr>
                      <w:rFonts w:ascii="Open Sans Light" w:hAnsi="Open Sans Light"/>
                      <w:sz w:val="22"/>
                    </w:rPr>
                  </w:pPr>
                  <w:r>
                    <w:rPr>
                      <w:rFonts w:ascii="Open Sans Light" w:hAnsi="Open Sans Light"/>
                      <w:sz w:val="22"/>
                    </w:rPr>
                    <w:t>Wizz Air</w:t>
                  </w:r>
                </w:p>
              </w:tc>
              <w:tc>
                <w:tcPr>
                  <w:tcW w:w="1828" w:type="dxa"/>
                </w:tcPr>
                <w:p w14:paraId="4D3C9375" w14:textId="4230A99D" w:rsidR="005A7B21" w:rsidRDefault="00AF5842" w:rsidP="00A05175">
                  <w:pPr>
                    <w:spacing w:before="120" w:after="120"/>
                    <w:jc w:val="both"/>
                    <w:rPr>
                      <w:rFonts w:ascii="Open Sans Light" w:hAnsi="Open Sans Light"/>
                      <w:sz w:val="22"/>
                    </w:rPr>
                  </w:pPr>
                  <w:r>
                    <w:rPr>
                      <w:rFonts w:ascii="Open Sans Light" w:hAnsi="Open Sans Light"/>
                      <w:sz w:val="22"/>
                    </w:rPr>
                    <w:t>1 May</w:t>
                  </w:r>
                </w:p>
              </w:tc>
              <w:tc>
                <w:tcPr>
                  <w:tcW w:w="1828" w:type="dxa"/>
                </w:tcPr>
                <w:p w14:paraId="27F1D555" w14:textId="62E60F01" w:rsidR="005A7B21" w:rsidRDefault="001C344F" w:rsidP="00A05175">
                  <w:pPr>
                    <w:spacing w:before="120" w:after="120"/>
                    <w:jc w:val="both"/>
                    <w:rPr>
                      <w:rFonts w:ascii="Open Sans Light" w:hAnsi="Open Sans Light"/>
                      <w:sz w:val="22"/>
                    </w:rPr>
                  </w:pPr>
                  <w:r>
                    <w:rPr>
                      <w:rFonts w:ascii="Open Sans Light" w:hAnsi="Open Sans Light"/>
                      <w:sz w:val="22"/>
                    </w:rPr>
                    <w:t>None provided</w:t>
                  </w:r>
                </w:p>
              </w:tc>
              <w:tc>
                <w:tcPr>
                  <w:tcW w:w="1828" w:type="dxa"/>
                </w:tcPr>
                <w:p w14:paraId="0391F1F4" w14:textId="78008CC8" w:rsidR="005A7B21" w:rsidRDefault="0085161C" w:rsidP="00A05175">
                  <w:pPr>
                    <w:spacing w:before="120" w:after="120"/>
                    <w:jc w:val="both"/>
                    <w:rPr>
                      <w:rFonts w:ascii="Open Sans Light" w:hAnsi="Open Sans Light"/>
                      <w:sz w:val="22"/>
                    </w:rPr>
                  </w:pPr>
                  <w:r>
                    <w:rPr>
                      <w:rFonts w:ascii="Open Sans Light" w:hAnsi="Open Sans Light"/>
                      <w:sz w:val="22"/>
                    </w:rPr>
                    <w:t>-</w:t>
                  </w:r>
                </w:p>
              </w:tc>
            </w:tr>
          </w:tbl>
          <w:p w14:paraId="1122F848" w14:textId="47FCB997" w:rsidR="003D5759" w:rsidRDefault="0061625D" w:rsidP="00A05175">
            <w:pPr>
              <w:spacing w:before="120" w:after="120"/>
              <w:jc w:val="both"/>
              <w:rPr>
                <w:rFonts w:ascii="Open Sans Light" w:hAnsi="Open Sans Light"/>
                <w:sz w:val="22"/>
              </w:rPr>
            </w:pPr>
            <w:r>
              <w:rPr>
                <w:rFonts w:ascii="Open Sans Light" w:hAnsi="Open Sans Light"/>
                <w:sz w:val="22"/>
              </w:rPr>
              <w:t xml:space="preserve">Recent Covid-19 data </w:t>
            </w:r>
            <w:r w:rsidR="003D5759">
              <w:rPr>
                <w:rFonts w:ascii="Open Sans Light" w:hAnsi="Open Sans Light"/>
                <w:sz w:val="22"/>
              </w:rPr>
              <w:t>indicates</w:t>
            </w:r>
            <w:r>
              <w:rPr>
                <w:rFonts w:ascii="Open Sans Light" w:hAnsi="Open Sans Light"/>
                <w:sz w:val="22"/>
              </w:rPr>
              <w:t xml:space="preserve"> a collapse in the transmission and mortality rate</w:t>
            </w:r>
            <w:r w:rsidR="003D5759">
              <w:rPr>
                <w:rFonts w:ascii="Open Sans Light" w:hAnsi="Open Sans Light"/>
                <w:sz w:val="22"/>
              </w:rPr>
              <w:t xml:space="preserve"> in western and central Europe (fewer than 300 deaths per day). The</w:t>
            </w:r>
            <w:r w:rsidR="00B02620">
              <w:rPr>
                <w:rFonts w:ascii="Open Sans Light" w:hAnsi="Open Sans Light"/>
                <w:sz w:val="22"/>
              </w:rPr>
              <w:t xml:space="preserve"> UK’s</w:t>
            </w:r>
            <w:r w:rsidR="003D5759">
              <w:rPr>
                <w:rFonts w:ascii="Open Sans Light" w:hAnsi="Open Sans Light"/>
                <w:sz w:val="22"/>
              </w:rPr>
              <w:t xml:space="preserve"> ‘air bridge’ re-openings</w:t>
            </w:r>
            <w:r w:rsidR="006F7109">
              <w:rPr>
                <w:rFonts w:ascii="Open Sans Light" w:hAnsi="Open Sans Light"/>
                <w:sz w:val="22"/>
              </w:rPr>
              <w:t xml:space="preserve"> (75 countries)</w:t>
            </w:r>
            <w:r w:rsidR="003D5759">
              <w:rPr>
                <w:rFonts w:ascii="Open Sans Light" w:hAnsi="Open Sans Light"/>
                <w:sz w:val="22"/>
              </w:rPr>
              <w:t xml:space="preserve"> reflect a higher confidence in travel to Western Europe over the critical July/ August period.</w:t>
            </w:r>
          </w:p>
          <w:p w14:paraId="0ABC2F57" w14:textId="1C5219C8" w:rsidR="00074F2B" w:rsidRDefault="003D5759" w:rsidP="00A05175">
            <w:pPr>
              <w:spacing w:before="120" w:after="120"/>
              <w:jc w:val="both"/>
              <w:rPr>
                <w:rFonts w:ascii="Open Sans Light" w:hAnsi="Open Sans Light"/>
                <w:sz w:val="22"/>
              </w:rPr>
            </w:pPr>
            <w:r>
              <w:rPr>
                <w:rFonts w:ascii="Open Sans Light" w:hAnsi="Open Sans Light"/>
                <w:sz w:val="22"/>
              </w:rPr>
              <w:t xml:space="preserve">The international picture is </w:t>
            </w:r>
            <w:r w:rsidR="00074F2B">
              <w:rPr>
                <w:rFonts w:ascii="Open Sans Light" w:hAnsi="Open Sans Light"/>
                <w:sz w:val="22"/>
              </w:rPr>
              <w:t xml:space="preserve">uneven </w:t>
            </w:r>
            <w:r>
              <w:rPr>
                <w:rFonts w:ascii="Open Sans Light" w:hAnsi="Open Sans Light"/>
                <w:sz w:val="22"/>
              </w:rPr>
              <w:t>with stubbornly high</w:t>
            </w:r>
            <w:r w:rsidR="00CF3F9D">
              <w:rPr>
                <w:rFonts w:ascii="Open Sans Light" w:hAnsi="Open Sans Light"/>
                <w:sz w:val="22"/>
              </w:rPr>
              <w:t xml:space="preserve"> new</w:t>
            </w:r>
            <w:r>
              <w:rPr>
                <w:rFonts w:ascii="Open Sans Light" w:hAnsi="Open Sans Light"/>
                <w:sz w:val="22"/>
              </w:rPr>
              <w:t xml:space="preserve"> Covid-19 numbers in the US ‘sunbelt’ </w:t>
            </w:r>
            <w:r w:rsidR="00074F2B">
              <w:rPr>
                <w:rFonts w:ascii="Open Sans Light" w:hAnsi="Open Sans Light"/>
                <w:sz w:val="22"/>
              </w:rPr>
              <w:t>states</w:t>
            </w:r>
            <w:r w:rsidR="006F7109">
              <w:rPr>
                <w:rFonts w:ascii="Open Sans Light" w:hAnsi="Open Sans Light"/>
                <w:sz w:val="22"/>
              </w:rPr>
              <w:t xml:space="preserve"> (Texas/ Florida both have significant populations)</w:t>
            </w:r>
            <w:r w:rsidR="00074F2B">
              <w:rPr>
                <w:rFonts w:ascii="Open Sans Light" w:hAnsi="Open Sans Light"/>
                <w:sz w:val="22"/>
              </w:rPr>
              <w:t xml:space="preserve"> Mexico and Brazil. The re-introduction of lockdown measures in Beijing is a concern which could derail the recovery in domestic flights to China</w:t>
            </w:r>
            <w:r w:rsidR="00370198">
              <w:rPr>
                <w:rFonts w:ascii="Open Sans Light" w:hAnsi="Open Sans Light"/>
                <w:sz w:val="22"/>
              </w:rPr>
              <w:t xml:space="preserve"> and in neighboring Asian countries.</w:t>
            </w:r>
          </w:p>
          <w:p w14:paraId="70CF9878" w14:textId="3DA792B9" w:rsidR="00074F2B" w:rsidRDefault="00370198" w:rsidP="00A05175">
            <w:pPr>
              <w:spacing w:before="120" w:after="120"/>
              <w:jc w:val="both"/>
              <w:rPr>
                <w:rFonts w:ascii="Open Sans Light" w:hAnsi="Open Sans Light"/>
                <w:sz w:val="22"/>
              </w:rPr>
            </w:pPr>
            <w:r>
              <w:rPr>
                <w:rFonts w:ascii="Open Sans Light" w:hAnsi="Open Sans Light"/>
                <w:sz w:val="22"/>
              </w:rPr>
              <w:t>The Covid-19 data suggests recovery in European short haul flights will precede the trans</w:t>
            </w:r>
            <w:r w:rsidR="007A5BB5">
              <w:rPr>
                <w:rFonts w:ascii="Open Sans Light" w:hAnsi="Open Sans Light"/>
                <w:sz w:val="22"/>
              </w:rPr>
              <w:t>-A</w:t>
            </w:r>
            <w:r>
              <w:rPr>
                <w:rFonts w:ascii="Open Sans Light" w:hAnsi="Open Sans Light"/>
                <w:sz w:val="22"/>
              </w:rPr>
              <w:t>tlantic</w:t>
            </w:r>
            <w:r w:rsidR="007A5BB5">
              <w:rPr>
                <w:rFonts w:ascii="Open Sans Light" w:hAnsi="Open Sans Light"/>
                <w:sz w:val="22"/>
              </w:rPr>
              <w:t>/ trans-Pacific</w:t>
            </w:r>
            <w:r w:rsidR="0085161C">
              <w:rPr>
                <w:rFonts w:ascii="Open Sans Light" w:hAnsi="Open Sans Light"/>
                <w:sz w:val="22"/>
              </w:rPr>
              <w:t xml:space="preserve"> recovery</w:t>
            </w:r>
            <w:r w:rsidR="00E32F7C">
              <w:rPr>
                <w:rFonts w:ascii="Open Sans Light" w:hAnsi="Open Sans Light"/>
                <w:sz w:val="22"/>
              </w:rPr>
              <w:t xml:space="preserve">. This is clearly beneficial for exclusively EU short haul operators, </w:t>
            </w:r>
            <w:proofErr w:type="spellStart"/>
            <w:r w:rsidR="00E32F7C">
              <w:rPr>
                <w:rFonts w:ascii="Open Sans Light" w:hAnsi="Open Sans Light"/>
                <w:sz w:val="22"/>
              </w:rPr>
              <w:t>Easyjet</w:t>
            </w:r>
            <w:proofErr w:type="spellEnd"/>
            <w:r w:rsidR="00E32F7C">
              <w:rPr>
                <w:rFonts w:ascii="Open Sans Light" w:hAnsi="Open Sans Light"/>
                <w:sz w:val="22"/>
              </w:rPr>
              <w:t>, Jet2, Ryanair and Wizz Air.</w:t>
            </w:r>
          </w:p>
          <w:p w14:paraId="351905ED" w14:textId="49A211CB" w:rsidR="00314F38" w:rsidRDefault="00314F38" w:rsidP="00A05175">
            <w:pPr>
              <w:spacing w:before="120" w:after="120"/>
              <w:jc w:val="both"/>
              <w:rPr>
                <w:rFonts w:ascii="Open Sans Light" w:hAnsi="Open Sans Light"/>
                <w:sz w:val="22"/>
              </w:rPr>
            </w:pPr>
            <w:r>
              <w:rPr>
                <w:rFonts w:ascii="Open Sans Light" w:hAnsi="Open Sans Light"/>
                <w:sz w:val="22"/>
              </w:rPr>
              <w:t xml:space="preserve">Whilst investor expectations remain high that </w:t>
            </w:r>
            <w:r w:rsidR="003D5759">
              <w:rPr>
                <w:rFonts w:ascii="Open Sans Light" w:hAnsi="Open Sans Light"/>
                <w:sz w:val="22"/>
              </w:rPr>
              <w:t xml:space="preserve">global </w:t>
            </w:r>
            <w:r w:rsidR="0061625D">
              <w:rPr>
                <w:rFonts w:ascii="Open Sans Light" w:hAnsi="Open Sans Light"/>
                <w:sz w:val="22"/>
              </w:rPr>
              <w:t xml:space="preserve">air travel </w:t>
            </w:r>
            <w:r>
              <w:rPr>
                <w:rFonts w:ascii="Open Sans Light" w:hAnsi="Open Sans Light"/>
                <w:sz w:val="22"/>
              </w:rPr>
              <w:t>demand will have normalized by 2021 the industry is concerned about the implications of social distancing both at airports and onboard flights</w:t>
            </w:r>
            <w:r w:rsidR="0061625D">
              <w:rPr>
                <w:rFonts w:ascii="Open Sans Light" w:hAnsi="Open Sans Light"/>
                <w:sz w:val="22"/>
              </w:rPr>
              <w:t xml:space="preserve">, and to a lesser extent about environmental </w:t>
            </w:r>
            <w:r w:rsidR="00CF3F9D">
              <w:rPr>
                <w:rFonts w:ascii="Open Sans Light" w:hAnsi="Open Sans Light"/>
                <w:sz w:val="22"/>
              </w:rPr>
              <w:t xml:space="preserve">lobby </w:t>
            </w:r>
            <w:r w:rsidR="0061625D">
              <w:rPr>
                <w:rFonts w:ascii="Open Sans Light" w:hAnsi="Open Sans Light"/>
                <w:sz w:val="22"/>
              </w:rPr>
              <w:t>pressure on the sector</w:t>
            </w:r>
            <w:r w:rsidR="00CF3F9D">
              <w:rPr>
                <w:rFonts w:ascii="Open Sans Light" w:hAnsi="Open Sans Light"/>
                <w:sz w:val="22"/>
              </w:rPr>
              <w:t>’s weak ‘green’ credentials.</w:t>
            </w:r>
          </w:p>
          <w:p w14:paraId="0FB2DB92" w14:textId="77777777" w:rsidR="006F7109" w:rsidRPr="00570E27" w:rsidRDefault="006F7109" w:rsidP="00A05175">
            <w:pPr>
              <w:spacing w:before="120" w:after="120"/>
              <w:jc w:val="both"/>
              <w:rPr>
                <w:rFonts w:ascii="Open Sans Light" w:hAnsi="Open Sans Light"/>
                <w:sz w:val="22"/>
              </w:rPr>
            </w:pPr>
          </w:p>
          <w:p w14:paraId="4B8A1909" w14:textId="08C0C1D2" w:rsidR="00201F1E" w:rsidRPr="00802AB8" w:rsidRDefault="006D005C" w:rsidP="00C676FE">
            <w:pPr>
              <w:spacing w:before="120" w:after="120"/>
              <w:jc w:val="both"/>
              <w:rPr>
                <w:rFonts w:ascii="Open Sans Semibold" w:hAnsi="Open Sans Semibold"/>
                <w:color w:val="005D2A"/>
                <w:sz w:val="32"/>
              </w:rPr>
            </w:pPr>
            <w:r w:rsidRPr="00802AB8">
              <w:rPr>
                <w:rFonts w:ascii="Open Sans Semibold" w:hAnsi="Open Sans Semibold"/>
                <w:color w:val="005D2A"/>
                <w:sz w:val="32"/>
              </w:rPr>
              <w:t xml:space="preserve">UK/ EU airlines have </w:t>
            </w:r>
            <w:r w:rsidR="006E7668">
              <w:rPr>
                <w:rFonts w:ascii="Open Sans Semibold" w:hAnsi="Open Sans Semibold"/>
                <w:color w:val="005D2A"/>
                <w:sz w:val="32"/>
              </w:rPr>
              <w:t>raised</w:t>
            </w:r>
            <w:r w:rsidRPr="00802AB8">
              <w:rPr>
                <w:rFonts w:ascii="Open Sans Semibold" w:hAnsi="Open Sans Semibold"/>
                <w:color w:val="005D2A"/>
                <w:sz w:val="32"/>
              </w:rPr>
              <w:t xml:space="preserve"> </w:t>
            </w:r>
            <w:r w:rsidR="00802AB8" w:rsidRPr="00802AB8">
              <w:rPr>
                <w:rFonts w:ascii="Open Sans Semibold" w:hAnsi="Open Sans Semibold"/>
                <w:color w:val="005D2A"/>
                <w:sz w:val="32"/>
              </w:rPr>
              <w:t xml:space="preserve">significant </w:t>
            </w:r>
            <w:r w:rsidR="006E7668">
              <w:rPr>
                <w:rFonts w:ascii="Open Sans Semibold" w:hAnsi="Open Sans Semibold"/>
                <w:color w:val="005D2A"/>
                <w:sz w:val="32"/>
              </w:rPr>
              <w:t>new cash</w:t>
            </w:r>
          </w:p>
          <w:p w14:paraId="0B70BF28" w14:textId="4BA09443" w:rsidR="007001C6" w:rsidRDefault="005116B6" w:rsidP="00874E3E">
            <w:pPr>
              <w:spacing w:before="120" w:after="120"/>
              <w:jc w:val="both"/>
              <w:rPr>
                <w:rFonts w:ascii="Open Sans Light" w:hAnsi="Open Sans Light" w:cs="Open Sans Light"/>
                <w:sz w:val="22"/>
                <w:szCs w:val="22"/>
              </w:rPr>
            </w:pPr>
            <w:r w:rsidRPr="00201F1E">
              <w:rPr>
                <w:rFonts w:ascii="Open Sans Light" w:hAnsi="Open Sans Light" w:cs="Open Sans Light"/>
                <w:sz w:val="22"/>
                <w:szCs w:val="22"/>
              </w:rPr>
              <w:t>The</w:t>
            </w:r>
            <w:r w:rsidR="00F27054">
              <w:rPr>
                <w:rFonts w:ascii="Open Sans Light" w:hAnsi="Open Sans Light" w:cs="Open Sans Light"/>
                <w:sz w:val="22"/>
                <w:szCs w:val="22"/>
              </w:rPr>
              <w:t xml:space="preserve"> UK/ EU</w:t>
            </w:r>
            <w:r w:rsidRPr="00201F1E">
              <w:rPr>
                <w:rFonts w:ascii="Open Sans Light" w:hAnsi="Open Sans Light" w:cs="Open Sans Light"/>
                <w:sz w:val="22"/>
                <w:szCs w:val="22"/>
              </w:rPr>
              <w:t xml:space="preserve"> </w:t>
            </w:r>
            <w:r w:rsidR="006F7109">
              <w:rPr>
                <w:rFonts w:ascii="Open Sans Light" w:hAnsi="Open Sans Light" w:cs="Open Sans Light"/>
                <w:sz w:val="22"/>
                <w:szCs w:val="22"/>
              </w:rPr>
              <w:t xml:space="preserve">airline industry </w:t>
            </w:r>
            <w:r w:rsidR="00F27054">
              <w:rPr>
                <w:rFonts w:ascii="Open Sans Light" w:hAnsi="Open Sans Light" w:cs="Open Sans Light"/>
                <w:sz w:val="22"/>
                <w:szCs w:val="22"/>
              </w:rPr>
              <w:t xml:space="preserve">has raised considerable new debt and equity funding since Covid-19 related lockdown and travel restrictions. Whilst cash levels appear </w:t>
            </w:r>
            <w:proofErr w:type="gramStart"/>
            <w:r w:rsidR="00F27054">
              <w:rPr>
                <w:rFonts w:ascii="Open Sans Light" w:hAnsi="Open Sans Light" w:cs="Open Sans Light"/>
                <w:sz w:val="22"/>
                <w:szCs w:val="22"/>
              </w:rPr>
              <w:t>sufficient</w:t>
            </w:r>
            <w:proofErr w:type="gramEnd"/>
            <w:r w:rsidR="00F27054">
              <w:rPr>
                <w:rFonts w:ascii="Open Sans Light" w:hAnsi="Open Sans Light" w:cs="Open Sans Light"/>
                <w:sz w:val="22"/>
                <w:szCs w:val="22"/>
              </w:rPr>
              <w:t xml:space="preserve"> and </w:t>
            </w:r>
            <w:r w:rsidR="00A77D5F">
              <w:rPr>
                <w:rFonts w:ascii="Open Sans Light" w:hAnsi="Open Sans Light" w:cs="Open Sans Light"/>
                <w:sz w:val="22"/>
                <w:szCs w:val="22"/>
              </w:rPr>
              <w:t>relatively</w:t>
            </w:r>
            <w:r w:rsidR="00F27054">
              <w:rPr>
                <w:rFonts w:ascii="Open Sans Light" w:hAnsi="Open Sans Light" w:cs="Open Sans Light"/>
                <w:sz w:val="22"/>
                <w:szCs w:val="22"/>
              </w:rPr>
              <w:t xml:space="preserve"> high, the issue of recovery in travel demand remains.</w:t>
            </w:r>
          </w:p>
          <w:tbl>
            <w:tblPr>
              <w:tblStyle w:val="TableGrid"/>
              <w:tblW w:w="7647" w:type="dxa"/>
              <w:tblLayout w:type="fixed"/>
              <w:tblLook w:val="04A0" w:firstRow="1" w:lastRow="0" w:firstColumn="1" w:lastColumn="0" w:noHBand="0" w:noVBand="1"/>
            </w:tblPr>
            <w:tblGrid>
              <w:gridCol w:w="1079"/>
              <w:gridCol w:w="1847"/>
              <w:gridCol w:w="1129"/>
              <w:gridCol w:w="1418"/>
              <w:gridCol w:w="2174"/>
            </w:tblGrid>
            <w:tr w:rsidR="004F24CA" w14:paraId="1E7E4C5B" w14:textId="77777777" w:rsidTr="00D50ACC">
              <w:tc>
                <w:tcPr>
                  <w:tcW w:w="1079" w:type="dxa"/>
                </w:tcPr>
                <w:p w14:paraId="0E7521A5" w14:textId="53CB34D7" w:rsidR="004F24CA" w:rsidRDefault="004F24CA" w:rsidP="007001C6">
                  <w:pPr>
                    <w:spacing w:before="120" w:after="120"/>
                    <w:jc w:val="both"/>
                    <w:rPr>
                      <w:rFonts w:ascii="Open Sans Light" w:hAnsi="Open Sans Light" w:cs="Open Sans Light"/>
                      <w:sz w:val="22"/>
                      <w:szCs w:val="22"/>
                    </w:rPr>
                  </w:pPr>
                  <w:r>
                    <w:rPr>
                      <w:rFonts w:ascii="Open Sans Light" w:hAnsi="Open Sans Light"/>
                      <w:sz w:val="22"/>
                    </w:rPr>
                    <w:t>Airline</w:t>
                  </w:r>
                </w:p>
              </w:tc>
              <w:tc>
                <w:tcPr>
                  <w:tcW w:w="1847" w:type="dxa"/>
                </w:tcPr>
                <w:p w14:paraId="684FBFB5" w14:textId="7C84AFCA" w:rsidR="004F24CA" w:rsidRDefault="004F24CA"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Liquidity (cash + bank facility)</w:t>
                  </w:r>
                </w:p>
              </w:tc>
              <w:tc>
                <w:tcPr>
                  <w:tcW w:w="1129" w:type="dxa"/>
                </w:tcPr>
                <w:p w14:paraId="567A6848" w14:textId="07909D45" w:rsidR="004F24CA" w:rsidRDefault="004F24CA" w:rsidP="007001C6">
                  <w:pPr>
                    <w:spacing w:before="120" w:after="120"/>
                    <w:jc w:val="both"/>
                    <w:rPr>
                      <w:rFonts w:ascii="Open Sans Light" w:hAnsi="Open Sans Light" w:cs="Open Sans Light"/>
                      <w:sz w:val="22"/>
                      <w:szCs w:val="22"/>
                    </w:rPr>
                  </w:pPr>
                  <w:proofErr w:type="spellStart"/>
                  <w:r>
                    <w:rPr>
                      <w:rFonts w:ascii="Open Sans Light" w:hAnsi="Open Sans Light" w:cs="Open Sans Light"/>
                      <w:sz w:val="22"/>
                      <w:szCs w:val="22"/>
                    </w:rPr>
                    <w:t>Covid</w:t>
                  </w:r>
                  <w:proofErr w:type="spellEnd"/>
                  <w:r>
                    <w:rPr>
                      <w:rFonts w:ascii="Open Sans Light" w:hAnsi="Open Sans Light" w:cs="Open Sans Light"/>
                      <w:sz w:val="22"/>
                      <w:szCs w:val="22"/>
                    </w:rPr>
                    <w:t xml:space="preserve"> Funding + Placing</w:t>
                  </w:r>
                </w:p>
              </w:tc>
              <w:tc>
                <w:tcPr>
                  <w:tcW w:w="1418" w:type="dxa"/>
                </w:tcPr>
                <w:p w14:paraId="30FF70B8" w14:textId="0A0F5A8E" w:rsidR="004F24CA" w:rsidRDefault="004F24CA"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M&amp;A/ Disposals</w:t>
                  </w:r>
                </w:p>
              </w:tc>
              <w:tc>
                <w:tcPr>
                  <w:tcW w:w="2174" w:type="dxa"/>
                </w:tcPr>
                <w:p w14:paraId="12B0AA34" w14:textId="7AC24E27" w:rsidR="004F24CA" w:rsidRDefault="004F24CA"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Comment</w:t>
                  </w:r>
                </w:p>
              </w:tc>
            </w:tr>
            <w:tr w:rsidR="004F24CA" w14:paraId="0D85197E" w14:textId="77777777" w:rsidTr="00D50ACC">
              <w:tc>
                <w:tcPr>
                  <w:tcW w:w="1079" w:type="dxa"/>
                </w:tcPr>
                <w:p w14:paraId="7B595875" w14:textId="36E1DD9A" w:rsidR="004F24CA" w:rsidRDefault="004F24CA" w:rsidP="007001C6">
                  <w:pPr>
                    <w:spacing w:before="120" w:after="120"/>
                    <w:jc w:val="both"/>
                    <w:rPr>
                      <w:rFonts w:ascii="Open Sans Light" w:hAnsi="Open Sans Light" w:cs="Open Sans Light"/>
                      <w:sz w:val="22"/>
                      <w:szCs w:val="22"/>
                    </w:rPr>
                  </w:pPr>
                  <w:r>
                    <w:rPr>
                      <w:rFonts w:ascii="Open Sans Light" w:hAnsi="Open Sans Light"/>
                      <w:sz w:val="22"/>
                    </w:rPr>
                    <w:t>Dart Group</w:t>
                  </w:r>
                </w:p>
              </w:tc>
              <w:tc>
                <w:tcPr>
                  <w:tcW w:w="1847" w:type="dxa"/>
                </w:tcPr>
                <w:p w14:paraId="4008E42F" w14:textId="68820E9B" w:rsidR="004F24CA" w:rsidRDefault="004F24CA"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£1.5bn</w:t>
                  </w:r>
                  <w:r w:rsidR="007541E0">
                    <w:rPr>
                      <w:rFonts w:ascii="Open Sans Light" w:hAnsi="Open Sans Light" w:cs="Open Sans Light"/>
                      <w:sz w:val="22"/>
                      <w:szCs w:val="22"/>
                    </w:rPr>
                    <w:t xml:space="preserve"> cash</w:t>
                  </w:r>
                  <w:r>
                    <w:rPr>
                      <w:rFonts w:ascii="Open Sans Light" w:hAnsi="Open Sans Light" w:cs="Open Sans Light"/>
                      <w:sz w:val="22"/>
                      <w:szCs w:val="22"/>
                    </w:rPr>
                    <w:t xml:space="preserve"> (18 March 2020)</w:t>
                  </w:r>
                </w:p>
              </w:tc>
              <w:tc>
                <w:tcPr>
                  <w:tcW w:w="1129" w:type="dxa"/>
                </w:tcPr>
                <w:p w14:paraId="5B9F094A" w14:textId="5EB6BB19" w:rsidR="00D67D84" w:rsidRDefault="004F24CA" w:rsidP="00D67D84">
                  <w:pPr>
                    <w:spacing w:before="120" w:after="120"/>
                    <w:jc w:val="both"/>
                    <w:rPr>
                      <w:rFonts w:ascii="Open Sans Light" w:hAnsi="Open Sans Light" w:cs="Open Sans Light"/>
                      <w:sz w:val="22"/>
                      <w:szCs w:val="22"/>
                    </w:rPr>
                  </w:pPr>
                  <w:r>
                    <w:rPr>
                      <w:rFonts w:ascii="Open Sans Light" w:hAnsi="Open Sans Light" w:cs="Open Sans Light"/>
                      <w:sz w:val="22"/>
                      <w:szCs w:val="22"/>
                    </w:rPr>
                    <w:t>+£300m</w:t>
                  </w:r>
                  <w:r w:rsidR="00D67D84">
                    <w:rPr>
                      <w:rFonts w:ascii="Open Sans Light" w:hAnsi="Open Sans Light" w:cs="Open Sans Light"/>
                      <w:sz w:val="22"/>
                      <w:szCs w:val="22"/>
                    </w:rPr>
                    <w:t xml:space="preserve"> (BoE)</w:t>
                  </w:r>
                </w:p>
                <w:p w14:paraId="23348839" w14:textId="11E6C6CB" w:rsidR="00372905" w:rsidRDefault="00372905" w:rsidP="00D67D84">
                  <w:pPr>
                    <w:spacing w:before="120" w:after="120"/>
                    <w:jc w:val="both"/>
                    <w:rPr>
                      <w:rFonts w:ascii="Open Sans Light" w:hAnsi="Open Sans Light" w:cs="Open Sans Light"/>
                      <w:sz w:val="22"/>
                      <w:szCs w:val="22"/>
                    </w:rPr>
                  </w:pPr>
                  <w:r>
                    <w:rPr>
                      <w:rFonts w:ascii="Open Sans Light" w:hAnsi="Open Sans Light" w:cs="Open Sans Light"/>
                      <w:sz w:val="22"/>
                      <w:szCs w:val="22"/>
                    </w:rPr>
                    <w:t>£100m RCF</w:t>
                  </w:r>
                </w:p>
                <w:p w14:paraId="3026A62F" w14:textId="75C9D937" w:rsidR="004F24CA" w:rsidRDefault="004F24CA" w:rsidP="00D67D84">
                  <w:pPr>
                    <w:spacing w:before="120" w:after="120"/>
                    <w:jc w:val="both"/>
                    <w:rPr>
                      <w:rFonts w:ascii="Open Sans Light" w:hAnsi="Open Sans Light" w:cs="Open Sans Light"/>
                      <w:sz w:val="22"/>
                      <w:szCs w:val="22"/>
                    </w:rPr>
                  </w:pPr>
                  <w:r>
                    <w:rPr>
                      <w:rFonts w:ascii="Open Sans Light" w:hAnsi="Open Sans Light" w:cs="Open Sans Light"/>
                      <w:sz w:val="22"/>
                      <w:szCs w:val="22"/>
                    </w:rPr>
                    <w:t>+£172m</w:t>
                  </w:r>
                  <w:r w:rsidR="00D67D84">
                    <w:rPr>
                      <w:rFonts w:ascii="Open Sans Light" w:hAnsi="Open Sans Light" w:cs="Open Sans Light"/>
                      <w:sz w:val="22"/>
                      <w:szCs w:val="22"/>
                    </w:rPr>
                    <w:t xml:space="preserve"> (shares)</w:t>
                  </w:r>
                </w:p>
              </w:tc>
              <w:tc>
                <w:tcPr>
                  <w:tcW w:w="1418" w:type="dxa"/>
                </w:tcPr>
                <w:p w14:paraId="55C21B03" w14:textId="47E0662C" w:rsidR="004F24CA" w:rsidRDefault="004F24CA"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+£98m </w:t>
                  </w:r>
                </w:p>
              </w:tc>
              <w:tc>
                <w:tcPr>
                  <w:tcW w:w="2174" w:type="dxa"/>
                </w:tcPr>
                <w:p w14:paraId="2FBD557B" w14:textId="2362FBBC" w:rsidR="007541E0" w:rsidRDefault="00D67D84"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Board </w:t>
                  </w:r>
                  <w:r w:rsidR="007541E0">
                    <w:rPr>
                      <w:rFonts w:ascii="Open Sans Light" w:hAnsi="Open Sans Light" w:cs="Open Sans Light"/>
                      <w:sz w:val="22"/>
                      <w:szCs w:val="22"/>
                    </w:rPr>
                    <w:t>l</w:t>
                  </w:r>
                  <w:r>
                    <w:rPr>
                      <w:rFonts w:ascii="Open Sans Light" w:hAnsi="Open Sans Light" w:cs="Open Sans Light"/>
                      <w:sz w:val="22"/>
                      <w:szCs w:val="22"/>
                    </w:rPr>
                    <w:t>ift</w:t>
                  </w:r>
                  <w:r w:rsidR="007541E0">
                    <w:rPr>
                      <w:rFonts w:ascii="Open Sans Light" w:hAnsi="Open Sans Light" w:cs="Open Sans Light"/>
                      <w:sz w:val="22"/>
                      <w:szCs w:val="22"/>
                    </w:rPr>
                    <w:t>ed</w:t>
                  </w:r>
                  <w:r>
                    <w:rPr>
                      <w:rFonts w:ascii="Open Sans Light" w:hAnsi="Open Sans Light" w:cs="Open Sans Light"/>
                      <w:sz w:val="22"/>
                      <w:szCs w:val="22"/>
                    </w:rPr>
                    <w:t xml:space="preserve"> cash</w:t>
                  </w:r>
                  <w:r w:rsidR="00372905">
                    <w:rPr>
                      <w:rFonts w:ascii="Open Sans Light" w:hAnsi="Open Sans Light" w:cs="Open Sans Light"/>
                      <w:sz w:val="22"/>
                      <w:szCs w:val="22"/>
                    </w:rPr>
                    <w:t>,</w:t>
                  </w:r>
                  <w:r>
                    <w:rPr>
                      <w:rFonts w:ascii="Open Sans Light" w:hAnsi="Open Sans Light" w:cs="Open Sans Light"/>
                      <w:sz w:val="22"/>
                      <w:szCs w:val="22"/>
                    </w:rPr>
                    <w:t xml:space="preserve"> facilit</w:t>
                  </w:r>
                  <w:r w:rsidR="007541E0">
                    <w:rPr>
                      <w:rFonts w:ascii="Open Sans Light" w:hAnsi="Open Sans Light" w:cs="Open Sans Light"/>
                      <w:sz w:val="22"/>
                      <w:szCs w:val="22"/>
                    </w:rPr>
                    <w:t>ies</w:t>
                  </w:r>
                  <w:r w:rsidR="00372905">
                    <w:rPr>
                      <w:rFonts w:ascii="Open Sans Light" w:hAnsi="Open Sans Light" w:cs="Open Sans Light"/>
                      <w:sz w:val="22"/>
                      <w:szCs w:val="22"/>
                    </w:rPr>
                    <w:t xml:space="preserve"> and receivables</w:t>
                  </w:r>
                  <w:r>
                    <w:rPr>
                      <w:rFonts w:ascii="Open Sans Light" w:hAnsi="Open Sans Light" w:cs="Open Sans Light"/>
                      <w:sz w:val="22"/>
                      <w:szCs w:val="22"/>
                    </w:rPr>
                    <w:t xml:space="preserve"> </w:t>
                  </w:r>
                  <w:r w:rsidR="007541E0">
                    <w:rPr>
                      <w:rFonts w:ascii="Open Sans Light" w:hAnsi="Open Sans Light" w:cs="Open Sans Light"/>
                      <w:sz w:val="22"/>
                      <w:szCs w:val="22"/>
                    </w:rPr>
                    <w:t>t</w:t>
                  </w:r>
                  <w:r>
                    <w:rPr>
                      <w:rFonts w:ascii="Open Sans Light" w:hAnsi="Open Sans Light" w:cs="Open Sans Light"/>
                      <w:sz w:val="22"/>
                      <w:szCs w:val="22"/>
                    </w:rPr>
                    <w:t>o</w:t>
                  </w:r>
                  <w:r w:rsidR="004F24CA">
                    <w:rPr>
                      <w:rFonts w:ascii="Open Sans Light" w:hAnsi="Open Sans Light" w:cs="Open Sans Light"/>
                      <w:sz w:val="22"/>
                      <w:szCs w:val="22"/>
                    </w:rPr>
                    <w:t xml:space="preserve"> £</w:t>
                  </w:r>
                  <w:r w:rsidR="00372905">
                    <w:rPr>
                      <w:rFonts w:ascii="Open Sans Light" w:hAnsi="Open Sans Light" w:cs="Open Sans Light"/>
                      <w:sz w:val="22"/>
                      <w:szCs w:val="22"/>
                    </w:rPr>
                    <w:t>2</w:t>
                  </w:r>
                  <w:r w:rsidR="004F24CA">
                    <w:rPr>
                      <w:rFonts w:ascii="Open Sans Light" w:hAnsi="Open Sans Light" w:cs="Open Sans Light"/>
                      <w:sz w:val="22"/>
                      <w:szCs w:val="22"/>
                    </w:rPr>
                    <w:t>.</w:t>
                  </w:r>
                  <w:r w:rsidR="00372905">
                    <w:rPr>
                      <w:rFonts w:ascii="Open Sans Light" w:hAnsi="Open Sans Light" w:cs="Open Sans Light"/>
                      <w:sz w:val="22"/>
                      <w:szCs w:val="22"/>
                    </w:rPr>
                    <w:t>1</w:t>
                  </w:r>
                  <w:r w:rsidR="004F24CA">
                    <w:rPr>
                      <w:rFonts w:ascii="Open Sans Light" w:hAnsi="Open Sans Light" w:cs="Open Sans Light"/>
                      <w:sz w:val="22"/>
                      <w:szCs w:val="22"/>
                    </w:rPr>
                    <w:t>7bn</w:t>
                  </w:r>
                  <w:r w:rsidR="007541E0">
                    <w:rPr>
                      <w:rFonts w:ascii="Open Sans Light" w:hAnsi="Open Sans Light" w:cs="Open Sans Light"/>
                      <w:sz w:val="22"/>
                      <w:szCs w:val="22"/>
                    </w:rPr>
                    <w:t>.</w:t>
                  </w:r>
                  <w:r w:rsidR="00A6357A">
                    <w:rPr>
                      <w:rFonts w:ascii="Open Sans Light" w:hAnsi="Open Sans Light" w:cs="Open Sans Light"/>
                      <w:sz w:val="22"/>
                      <w:szCs w:val="22"/>
                    </w:rPr>
                    <w:t xml:space="preserve"> </w:t>
                  </w:r>
                  <w:r w:rsidR="00A77D5F">
                    <w:rPr>
                      <w:rFonts w:ascii="Open Sans Light" w:hAnsi="Open Sans Light" w:cs="Open Sans Light"/>
                      <w:sz w:val="22"/>
                      <w:szCs w:val="22"/>
                    </w:rPr>
                    <w:t>Further fund raising unlikely.</w:t>
                  </w:r>
                </w:p>
              </w:tc>
            </w:tr>
            <w:tr w:rsidR="004F24CA" w14:paraId="4F6AB256" w14:textId="77777777" w:rsidTr="00D50ACC">
              <w:tc>
                <w:tcPr>
                  <w:tcW w:w="1079" w:type="dxa"/>
                </w:tcPr>
                <w:p w14:paraId="74A75042" w14:textId="046D2B26" w:rsidR="004F24CA" w:rsidRDefault="004F24CA" w:rsidP="007001C6">
                  <w:pPr>
                    <w:spacing w:before="120" w:after="120"/>
                    <w:jc w:val="both"/>
                    <w:rPr>
                      <w:rFonts w:ascii="Open Sans Light" w:hAnsi="Open Sans Light" w:cs="Open Sans Light"/>
                      <w:sz w:val="22"/>
                      <w:szCs w:val="22"/>
                    </w:rPr>
                  </w:pPr>
                  <w:proofErr w:type="spellStart"/>
                  <w:r>
                    <w:rPr>
                      <w:rFonts w:ascii="Open Sans Light" w:hAnsi="Open Sans Light"/>
                      <w:sz w:val="22"/>
                    </w:rPr>
                    <w:t>Easyjet</w:t>
                  </w:r>
                  <w:proofErr w:type="spellEnd"/>
                </w:p>
              </w:tc>
              <w:tc>
                <w:tcPr>
                  <w:tcW w:w="1847" w:type="dxa"/>
                </w:tcPr>
                <w:p w14:paraId="3E05F152" w14:textId="6E5B9304" w:rsidR="004F24CA" w:rsidRDefault="00D67D84"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£1.38bn</w:t>
                  </w:r>
                  <w:r w:rsidR="007541E0">
                    <w:rPr>
                      <w:rFonts w:ascii="Open Sans Light" w:hAnsi="Open Sans Light" w:cs="Open Sans Light"/>
                      <w:sz w:val="22"/>
                      <w:szCs w:val="22"/>
                    </w:rPr>
                    <w:t xml:space="preserve"> cash</w:t>
                  </w:r>
                  <w:r>
                    <w:rPr>
                      <w:rFonts w:ascii="Open Sans Light" w:hAnsi="Open Sans Light" w:cs="Open Sans Light"/>
                      <w:sz w:val="22"/>
                      <w:szCs w:val="22"/>
                    </w:rPr>
                    <w:t xml:space="preserve"> (31 March 2020) </w:t>
                  </w:r>
                  <w:r w:rsidR="007541E0">
                    <w:rPr>
                      <w:rFonts w:ascii="Open Sans Light" w:hAnsi="Open Sans Light" w:cs="Open Sans Light"/>
                      <w:sz w:val="22"/>
                      <w:szCs w:val="22"/>
                    </w:rPr>
                    <w:t>but net debt £467m (hence gross debt £1.85bn)</w:t>
                  </w:r>
                </w:p>
              </w:tc>
              <w:tc>
                <w:tcPr>
                  <w:tcW w:w="1129" w:type="dxa"/>
                </w:tcPr>
                <w:p w14:paraId="08BC45F1" w14:textId="77777777" w:rsidR="00F27054" w:rsidRDefault="005E3256" w:rsidP="007541E0">
                  <w:pPr>
                    <w:spacing w:before="120" w:after="120"/>
                    <w:jc w:val="both"/>
                    <w:rPr>
                      <w:rFonts w:ascii="Open Sans Light" w:hAnsi="Open Sans Light" w:cs="Open Sans Light"/>
                      <w:sz w:val="22"/>
                      <w:szCs w:val="22"/>
                    </w:rPr>
                  </w:pPr>
                  <w:r>
                    <w:rPr>
                      <w:rFonts w:ascii="Open Sans Light" w:hAnsi="Open Sans Light" w:cs="Open Sans Light"/>
                      <w:sz w:val="22"/>
                      <w:szCs w:val="22"/>
                    </w:rPr>
                    <w:t>+£600m (BoE)</w:t>
                  </w:r>
                </w:p>
                <w:p w14:paraId="62921D49" w14:textId="77E4346E" w:rsidR="007541E0" w:rsidRDefault="005E3256" w:rsidP="007541E0">
                  <w:pPr>
                    <w:spacing w:before="120" w:after="120"/>
                    <w:jc w:val="both"/>
                    <w:rPr>
                      <w:rFonts w:ascii="Open Sans Light" w:hAnsi="Open Sans Light" w:cs="Open Sans Light"/>
                      <w:sz w:val="22"/>
                      <w:szCs w:val="22"/>
                    </w:rPr>
                  </w:pPr>
                  <w:r>
                    <w:rPr>
                      <w:rFonts w:ascii="Open Sans Light" w:hAnsi="Open Sans Light" w:cs="Open Sans Light"/>
                      <w:sz w:val="22"/>
                      <w:szCs w:val="22"/>
                    </w:rPr>
                    <w:t>+£400m (term loans)</w:t>
                  </w:r>
                </w:p>
                <w:p w14:paraId="0507A7F1" w14:textId="6BDB9939" w:rsidR="004F24CA" w:rsidRDefault="00D67D84" w:rsidP="007541E0">
                  <w:pPr>
                    <w:spacing w:before="120" w:after="120"/>
                    <w:jc w:val="both"/>
                    <w:rPr>
                      <w:rFonts w:ascii="Open Sans Light" w:hAnsi="Open Sans Light" w:cs="Open Sans Light"/>
                      <w:sz w:val="22"/>
                      <w:szCs w:val="22"/>
                    </w:rPr>
                  </w:pPr>
                  <w:r>
                    <w:rPr>
                      <w:rFonts w:ascii="Open Sans Light" w:hAnsi="Open Sans Light" w:cs="Open Sans Light"/>
                      <w:sz w:val="22"/>
                      <w:szCs w:val="22"/>
                    </w:rPr>
                    <w:t>+£419m (shares)</w:t>
                  </w:r>
                </w:p>
              </w:tc>
              <w:tc>
                <w:tcPr>
                  <w:tcW w:w="1418" w:type="dxa"/>
                </w:tcPr>
                <w:p w14:paraId="11C2712A" w14:textId="4964CBAC" w:rsidR="004F24CA" w:rsidRDefault="005E3256"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£301m (sale+ lease</w:t>
                  </w:r>
                  <w:r w:rsidR="00802AB8">
                    <w:rPr>
                      <w:rFonts w:ascii="Open Sans Light" w:hAnsi="Open Sans Light" w:cs="Open Sans Light"/>
                      <w:sz w:val="22"/>
                      <w:szCs w:val="22"/>
                    </w:rPr>
                    <w:t>back</w:t>
                  </w:r>
                  <w:r>
                    <w:rPr>
                      <w:rFonts w:ascii="Open Sans Light" w:hAnsi="Open Sans Light" w:cs="Open Sans Light"/>
                      <w:sz w:val="22"/>
                      <w:szCs w:val="22"/>
                    </w:rPr>
                    <w:t>)</w:t>
                  </w:r>
                  <w:r w:rsidR="007541E0">
                    <w:rPr>
                      <w:rFonts w:ascii="Open Sans Light" w:hAnsi="Open Sans Light" w:cs="Open Sans Light"/>
                      <w:sz w:val="22"/>
                      <w:szCs w:val="22"/>
                    </w:rPr>
                    <w:t xml:space="preserve"> EZJ expects another c. £200m</w:t>
                  </w:r>
                  <w:r w:rsidR="00802AB8">
                    <w:rPr>
                      <w:rFonts w:ascii="Open Sans Light" w:hAnsi="Open Sans Light" w:cs="Open Sans Light"/>
                      <w:sz w:val="22"/>
                      <w:szCs w:val="22"/>
                    </w:rPr>
                    <w:t xml:space="preserve"> via same route</w:t>
                  </w:r>
                </w:p>
              </w:tc>
              <w:tc>
                <w:tcPr>
                  <w:tcW w:w="2174" w:type="dxa"/>
                </w:tcPr>
                <w:p w14:paraId="13701F3A" w14:textId="62F5CB62" w:rsidR="004F24CA" w:rsidRDefault="005E3256"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Board is reducing staff by 30% </w:t>
                  </w:r>
                  <w:r w:rsidR="007541E0">
                    <w:rPr>
                      <w:rFonts w:ascii="Open Sans Light" w:hAnsi="Open Sans Light" w:cs="Open Sans Light"/>
                      <w:sz w:val="22"/>
                      <w:szCs w:val="22"/>
                    </w:rPr>
                    <w:t>and</w:t>
                  </w:r>
                  <w:r>
                    <w:rPr>
                      <w:rFonts w:ascii="Open Sans Light" w:hAnsi="Open Sans Light" w:cs="Open Sans Light"/>
                      <w:sz w:val="22"/>
                      <w:szCs w:val="22"/>
                    </w:rPr>
                    <w:t xml:space="preserve"> has raised </w:t>
                  </w:r>
                  <w:r w:rsidR="007541E0">
                    <w:rPr>
                      <w:rFonts w:ascii="Open Sans Light" w:hAnsi="Open Sans Light" w:cs="Open Sans Light"/>
                      <w:sz w:val="22"/>
                      <w:szCs w:val="22"/>
                    </w:rPr>
                    <w:t>£1.7bn</w:t>
                  </w:r>
                  <w:r w:rsidR="00F27054">
                    <w:rPr>
                      <w:rFonts w:ascii="Open Sans Light" w:hAnsi="Open Sans Light" w:cs="Open Sans Light"/>
                      <w:sz w:val="22"/>
                      <w:szCs w:val="22"/>
                    </w:rPr>
                    <w:t>.</w:t>
                  </w:r>
                  <w:r w:rsidR="007541E0">
                    <w:rPr>
                      <w:rFonts w:ascii="Open Sans Light" w:hAnsi="Open Sans Light" w:cs="Open Sans Light"/>
                      <w:sz w:val="22"/>
                      <w:szCs w:val="22"/>
                    </w:rPr>
                    <w:t xml:space="preserve"> EZJ expect</w:t>
                  </w:r>
                  <w:r w:rsidR="00F27054">
                    <w:rPr>
                      <w:rFonts w:ascii="Open Sans Light" w:hAnsi="Open Sans Light" w:cs="Open Sans Light"/>
                      <w:sz w:val="22"/>
                      <w:szCs w:val="22"/>
                    </w:rPr>
                    <w:t>s</w:t>
                  </w:r>
                  <w:r w:rsidR="007541E0">
                    <w:rPr>
                      <w:rFonts w:ascii="Open Sans Light" w:hAnsi="Open Sans Light" w:cs="Open Sans Light"/>
                      <w:sz w:val="22"/>
                      <w:szCs w:val="22"/>
                    </w:rPr>
                    <w:t xml:space="preserve"> </w:t>
                  </w:r>
                  <w:proofErr w:type="spellStart"/>
                  <w:r w:rsidR="007541E0">
                    <w:rPr>
                      <w:rFonts w:ascii="Open Sans Light" w:hAnsi="Open Sans Light" w:cs="Open Sans Light"/>
                      <w:sz w:val="22"/>
                      <w:szCs w:val="22"/>
                    </w:rPr>
                    <w:t>i</w:t>
                  </w:r>
                  <w:proofErr w:type="spellEnd"/>
                  <w:r w:rsidR="007541E0">
                    <w:rPr>
                      <w:rFonts w:ascii="Open Sans Light" w:hAnsi="Open Sans Light" w:cs="Open Sans Light"/>
                      <w:sz w:val="22"/>
                      <w:szCs w:val="22"/>
                    </w:rPr>
                    <w:t>) 3M grounding costs £1bn ii) 6M grounding costs £2.1bn</w:t>
                  </w:r>
                  <w:r w:rsidR="00A77D5F">
                    <w:rPr>
                      <w:rFonts w:ascii="Open Sans Light" w:hAnsi="Open Sans Light" w:cs="Open Sans Light"/>
                      <w:sz w:val="22"/>
                      <w:szCs w:val="22"/>
                    </w:rPr>
                    <w:t xml:space="preserve">. </w:t>
                  </w:r>
                </w:p>
              </w:tc>
            </w:tr>
            <w:tr w:rsidR="004F24CA" w14:paraId="453669B0" w14:textId="77777777" w:rsidTr="00D50ACC">
              <w:tc>
                <w:tcPr>
                  <w:tcW w:w="1079" w:type="dxa"/>
                </w:tcPr>
                <w:p w14:paraId="25C9F91D" w14:textId="510C68EB" w:rsidR="004F24CA" w:rsidRDefault="004F24CA" w:rsidP="007001C6">
                  <w:pPr>
                    <w:spacing w:before="120" w:after="120"/>
                    <w:jc w:val="both"/>
                    <w:rPr>
                      <w:rFonts w:ascii="Open Sans Light" w:hAnsi="Open Sans Light" w:cs="Open Sans Light"/>
                      <w:sz w:val="22"/>
                      <w:szCs w:val="22"/>
                    </w:rPr>
                  </w:pPr>
                  <w:r>
                    <w:rPr>
                      <w:rFonts w:ascii="Open Sans Light" w:hAnsi="Open Sans Light"/>
                      <w:sz w:val="22"/>
                    </w:rPr>
                    <w:t>IAG</w:t>
                  </w:r>
                </w:p>
              </w:tc>
              <w:tc>
                <w:tcPr>
                  <w:tcW w:w="1847" w:type="dxa"/>
                </w:tcPr>
                <w:p w14:paraId="12B4FAC4" w14:textId="0C18C51F" w:rsidR="004F24CA" w:rsidRDefault="004F24CA"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€10bn (end April 2020</w:t>
                  </w:r>
                  <w:r w:rsidR="0073100C">
                    <w:rPr>
                      <w:rFonts w:ascii="Open Sans Light" w:hAnsi="Open Sans Light" w:cs="Open Sans Light"/>
                      <w:sz w:val="22"/>
                      <w:szCs w:val="22"/>
                    </w:rPr>
                    <w:t>- of which cash €6.9bn) – net debt €7.5bn</w:t>
                  </w:r>
                </w:p>
              </w:tc>
              <w:tc>
                <w:tcPr>
                  <w:tcW w:w="1129" w:type="dxa"/>
                </w:tcPr>
                <w:p w14:paraId="4B504514" w14:textId="2D4EDB94" w:rsidR="0073100C" w:rsidRDefault="0073100C" w:rsidP="0073100C">
                  <w:pPr>
                    <w:spacing w:before="120" w:after="120"/>
                    <w:jc w:val="both"/>
                    <w:rPr>
                      <w:rFonts w:ascii="Open Sans Light" w:hAnsi="Open Sans Light" w:cs="Open Sans Light"/>
                      <w:sz w:val="22"/>
                      <w:szCs w:val="22"/>
                    </w:rPr>
                  </w:pPr>
                  <w:r>
                    <w:rPr>
                      <w:rFonts w:ascii="Open Sans Light" w:hAnsi="Open Sans Light" w:cs="Open Sans Light"/>
                      <w:sz w:val="22"/>
                      <w:szCs w:val="22"/>
                    </w:rPr>
                    <w:t>+£300m (BoE)</w:t>
                  </w:r>
                </w:p>
                <w:p w14:paraId="4404FE74" w14:textId="7A35D4BA" w:rsidR="004F24CA" w:rsidRDefault="0073100C"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€1.01bn (Govt of Spain)</w:t>
                  </w:r>
                </w:p>
              </w:tc>
              <w:tc>
                <w:tcPr>
                  <w:tcW w:w="1418" w:type="dxa"/>
                </w:tcPr>
                <w:p w14:paraId="0EA28C66" w14:textId="39F4F405" w:rsidR="004F24CA" w:rsidRDefault="00D90D6D"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Air Europa €1bn buy-out </w:t>
                  </w:r>
                  <w:r w:rsidR="00D50ACC">
                    <w:rPr>
                      <w:rFonts w:ascii="Open Sans Light" w:hAnsi="Open Sans Light" w:cs="Open Sans Light"/>
                      <w:sz w:val="22"/>
                      <w:szCs w:val="22"/>
                    </w:rPr>
                    <w:t>going ahead</w:t>
                  </w:r>
                </w:p>
              </w:tc>
              <w:tc>
                <w:tcPr>
                  <w:tcW w:w="2174" w:type="dxa"/>
                </w:tcPr>
                <w:p w14:paraId="0EE368C1" w14:textId="72C29E3F" w:rsidR="004F24CA" w:rsidRDefault="0073100C"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Operating costs c.  €200m per week</w:t>
                  </w:r>
                  <w:r w:rsidR="00A6357A">
                    <w:rPr>
                      <w:rFonts w:ascii="Open Sans Light" w:hAnsi="Open Sans Light" w:cs="Open Sans Light"/>
                      <w:sz w:val="22"/>
                      <w:szCs w:val="22"/>
                    </w:rPr>
                    <w:t xml:space="preserve">. Cash pressures are </w:t>
                  </w:r>
                  <w:r w:rsidR="00F27054">
                    <w:rPr>
                      <w:rFonts w:ascii="Open Sans Light" w:hAnsi="Open Sans Light" w:cs="Open Sans Light"/>
                      <w:sz w:val="22"/>
                      <w:szCs w:val="22"/>
                    </w:rPr>
                    <w:t>significant.</w:t>
                  </w:r>
                  <w:r w:rsidR="00A77D5F">
                    <w:rPr>
                      <w:rFonts w:ascii="Open Sans Light" w:hAnsi="Open Sans Light" w:cs="Open Sans Light"/>
                      <w:sz w:val="22"/>
                      <w:szCs w:val="22"/>
                    </w:rPr>
                    <w:t xml:space="preserve"> Co likely to raise more funds</w:t>
                  </w:r>
                </w:p>
              </w:tc>
            </w:tr>
            <w:tr w:rsidR="004F24CA" w14:paraId="252AEBD3" w14:textId="77777777" w:rsidTr="00D50ACC">
              <w:tc>
                <w:tcPr>
                  <w:tcW w:w="1079" w:type="dxa"/>
                </w:tcPr>
                <w:p w14:paraId="086A3684" w14:textId="0099C9AD" w:rsidR="004F24CA" w:rsidRDefault="004F24CA" w:rsidP="007001C6">
                  <w:pPr>
                    <w:spacing w:before="120" w:after="120"/>
                    <w:jc w:val="both"/>
                    <w:rPr>
                      <w:rFonts w:ascii="Open Sans Light" w:hAnsi="Open Sans Light" w:cs="Open Sans Light"/>
                      <w:sz w:val="22"/>
                      <w:szCs w:val="22"/>
                    </w:rPr>
                  </w:pPr>
                  <w:r>
                    <w:rPr>
                      <w:rFonts w:ascii="Open Sans Light" w:hAnsi="Open Sans Light"/>
                      <w:sz w:val="22"/>
                    </w:rPr>
                    <w:t>Ryanair</w:t>
                  </w:r>
                </w:p>
              </w:tc>
              <w:tc>
                <w:tcPr>
                  <w:tcW w:w="1847" w:type="dxa"/>
                </w:tcPr>
                <w:p w14:paraId="26D65548" w14:textId="7ED611CE" w:rsidR="004F24CA" w:rsidRDefault="008D31A4"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€4.1bn cash (18</w:t>
                  </w:r>
                  <w:r w:rsidRPr="008D31A4">
                    <w:rPr>
                      <w:rFonts w:ascii="Open Sans Light" w:hAnsi="Open Sans Light" w:cs="Open Sans Light"/>
                      <w:sz w:val="22"/>
                      <w:szCs w:val="22"/>
                      <w:vertAlign w:val="superscript"/>
                    </w:rPr>
                    <w:t>th</w:t>
                  </w:r>
                  <w:r>
                    <w:rPr>
                      <w:rFonts w:ascii="Open Sans Light" w:hAnsi="Open Sans Light" w:cs="Open Sans Light"/>
                      <w:sz w:val="22"/>
                      <w:szCs w:val="22"/>
                    </w:rPr>
                    <w:t xml:space="preserve"> May 2020)</w:t>
                  </w:r>
                </w:p>
              </w:tc>
              <w:tc>
                <w:tcPr>
                  <w:tcW w:w="1129" w:type="dxa"/>
                </w:tcPr>
                <w:p w14:paraId="5A061ADF" w14:textId="77777777" w:rsidR="007541E0" w:rsidRDefault="007541E0" w:rsidP="007541E0">
                  <w:pPr>
                    <w:spacing w:before="120" w:after="120"/>
                    <w:jc w:val="both"/>
                    <w:rPr>
                      <w:rFonts w:ascii="Open Sans Light" w:hAnsi="Open Sans Light" w:cs="Open Sans Light"/>
                      <w:sz w:val="22"/>
                      <w:szCs w:val="22"/>
                    </w:rPr>
                  </w:pPr>
                  <w:r>
                    <w:rPr>
                      <w:rFonts w:ascii="Open Sans Light" w:hAnsi="Open Sans Light" w:cs="Open Sans Light"/>
                      <w:sz w:val="22"/>
                      <w:szCs w:val="22"/>
                    </w:rPr>
                    <w:t>+£600m (BoE)</w:t>
                  </w:r>
                </w:p>
                <w:p w14:paraId="079261DC" w14:textId="77777777" w:rsidR="004F24CA" w:rsidRDefault="004F24CA" w:rsidP="007001C6">
                  <w:pPr>
                    <w:spacing w:before="120" w:after="120"/>
                    <w:jc w:val="both"/>
                    <w:rPr>
                      <w:rFonts w:ascii="Open Sans Light" w:hAnsi="Open Sans Light" w:cs="Open Sans Light"/>
                      <w:sz w:val="22"/>
                      <w:szCs w:val="22"/>
                    </w:rPr>
                  </w:pPr>
                </w:p>
              </w:tc>
              <w:tc>
                <w:tcPr>
                  <w:tcW w:w="1418" w:type="dxa"/>
                </w:tcPr>
                <w:p w14:paraId="15C0D8F7" w14:textId="75505F98" w:rsidR="004F24CA" w:rsidRDefault="008D31A4"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N/A</w:t>
                  </w:r>
                </w:p>
              </w:tc>
              <w:tc>
                <w:tcPr>
                  <w:tcW w:w="2174" w:type="dxa"/>
                </w:tcPr>
                <w:p w14:paraId="7B4F1D7B" w14:textId="0664D3BC" w:rsidR="004F24CA" w:rsidRDefault="008D31A4" w:rsidP="007001C6">
                  <w:pPr>
                    <w:spacing w:before="120" w:after="120"/>
                    <w:jc w:val="both"/>
                    <w:rPr>
                      <w:rFonts w:ascii="Open Sans Light" w:hAnsi="Open Sans Light" w:cs="Open Sans Light"/>
                      <w:sz w:val="22"/>
                      <w:szCs w:val="22"/>
                    </w:rPr>
                  </w:pPr>
                  <w:r>
                    <w:rPr>
                      <w:rFonts w:ascii="Open Sans Light" w:hAnsi="Open Sans Light" w:cs="Open Sans Light"/>
                      <w:sz w:val="22"/>
                      <w:szCs w:val="22"/>
                    </w:rPr>
                    <w:t>Operating costs c. €60m per week in May</w:t>
                  </w:r>
                  <w:r w:rsidR="00A6357A">
                    <w:rPr>
                      <w:rFonts w:ascii="Open Sans Light" w:hAnsi="Open Sans Light" w:cs="Open Sans Light"/>
                      <w:sz w:val="22"/>
                      <w:szCs w:val="22"/>
                    </w:rPr>
                    <w:t>. Cash pressures are man</w:t>
                  </w:r>
                  <w:r w:rsidR="00F27054">
                    <w:rPr>
                      <w:rFonts w:ascii="Open Sans Light" w:hAnsi="Open Sans Light" w:cs="Open Sans Light"/>
                      <w:sz w:val="22"/>
                      <w:szCs w:val="22"/>
                    </w:rPr>
                    <w:t>a</w:t>
                  </w:r>
                  <w:r w:rsidR="00A6357A">
                    <w:rPr>
                      <w:rFonts w:ascii="Open Sans Light" w:hAnsi="Open Sans Light" w:cs="Open Sans Light"/>
                      <w:sz w:val="22"/>
                      <w:szCs w:val="22"/>
                    </w:rPr>
                    <w:t>geable</w:t>
                  </w:r>
                </w:p>
              </w:tc>
            </w:tr>
            <w:tr w:rsidR="00A6357A" w14:paraId="200DD270" w14:textId="77777777" w:rsidTr="00D50ACC">
              <w:tc>
                <w:tcPr>
                  <w:tcW w:w="1079" w:type="dxa"/>
                </w:tcPr>
                <w:p w14:paraId="20CD3584" w14:textId="2DF0CD50" w:rsidR="00A6357A" w:rsidRDefault="00A6357A" w:rsidP="00A6357A">
                  <w:pPr>
                    <w:spacing w:before="120" w:after="120"/>
                    <w:jc w:val="both"/>
                    <w:rPr>
                      <w:rFonts w:ascii="Open Sans Light" w:hAnsi="Open Sans Light" w:cs="Open Sans Light"/>
                      <w:sz w:val="22"/>
                      <w:szCs w:val="22"/>
                    </w:rPr>
                  </w:pPr>
                  <w:r>
                    <w:rPr>
                      <w:rFonts w:ascii="Open Sans Light" w:hAnsi="Open Sans Light"/>
                      <w:sz w:val="22"/>
                    </w:rPr>
                    <w:t>TUI</w:t>
                  </w:r>
                  <w:r w:rsidR="00F27054">
                    <w:rPr>
                      <w:rFonts w:ascii="Open Sans Light" w:hAnsi="Open Sans Light"/>
                      <w:sz w:val="22"/>
                    </w:rPr>
                    <w:t xml:space="preserve"> AG</w:t>
                  </w:r>
                </w:p>
              </w:tc>
              <w:tc>
                <w:tcPr>
                  <w:tcW w:w="1847" w:type="dxa"/>
                </w:tcPr>
                <w:p w14:paraId="5007A7A2" w14:textId="22A1DAA1" w:rsidR="00A6357A" w:rsidRDefault="006A421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€1.04bn</w:t>
                  </w:r>
                </w:p>
              </w:tc>
              <w:tc>
                <w:tcPr>
                  <w:tcW w:w="1129" w:type="dxa"/>
                </w:tcPr>
                <w:p w14:paraId="50B6E34B" w14:textId="78D97FA3" w:rsidR="00A6357A" w:rsidRDefault="00A6357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€1.8bn (Govt of Germany)</w:t>
                  </w:r>
                </w:p>
              </w:tc>
              <w:tc>
                <w:tcPr>
                  <w:tcW w:w="1418" w:type="dxa"/>
                </w:tcPr>
                <w:p w14:paraId="133A8E3D" w14:textId="157695FB" w:rsidR="00A6357A" w:rsidRDefault="006A421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€808m Hapag Lloyd </w:t>
                  </w:r>
                  <w:r w:rsidR="00AB75E0">
                    <w:rPr>
                      <w:rFonts w:ascii="Open Sans Light" w:hAnsi="Open Sans Light" w:cs="Open Sans Light"/>
                      <w:sz w:val="22"/>
                      <w:szCs w:val="22"/>
                    </w:rPr>
                    <w:t>sale funds</w:t>
                  </w:r>
                  <w:r>
                    <w:rPr>
                      <w:rFonts w:ascii="Open Sans Light" w:hAnsi="Open Sans Light" w:cs="Open Sans Light"/>
                      <w:sz w:val="22"/>
                      <w:szCs w:val="22"/>
                    </w:rPr>
                    <w:t xml:space="preserve"> d</w:t>
                  </w:r>
                  <w:r w:rsidR="00AB75E0">
                    <w:rPr>
                      <w:rFonts w:ascii="Open Sans Light" w:hAnsi="Open Sans Light" w:cs="Open Sans Light"/>
                      <w:sz w:val="22"/>
                      <w:szCs w:val="22"/>
                    </w:rPr>
                    <w:t>ue</w:t>
                  </w:r>
                </w:p>
              </w:tc>
              <w:tc>
                <w:tcPr>
                  <w:tcW w:w="2174" w:type="dxa"/>
                </w:tcPr>
                <w:p w14:paraId="76AB2DED" w14:textId="01C89A0D" w:rsidR="00A6357A" w:rsidRDefault="00A6357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Operating costs c. €</w:t>
                  </w:r>
                  <w:r w:rsidR="00AB75E0">
                    <w:rPr>
                      <w:rFonts w:ascii="Open Sans Light" w:hAnsi="Open Sans Light" w:cs="Open Sans Light"/>
                      <w:sz w:val="22"/>
                      <w:szCs w:val="22"/>
                    </w:rPr>
                    <w:t>300</w:t>
                  </w:r>
                  <w:r>
                    <w:rPr>
                      <w:rFonts w:ascii="Open Sans Light" w:hAnsi="Open Sans Light" w:cs="Open Sans Light"/>
                      <w:sz w:val="22"/>
                      <w:szCs w:val="22"/>
                    </w:rPr>
                    <w:t>m per month in May</w:t>
                  </w:r>
                  <w:r w:rsidR="00F27054">
                    <w:rPr>
                      <w:rFonts w:ascii="Open Sans Light" w:hAnsi="Open Sans Light" w:cs="Open Sans Light"/>
                      <w:sz w:val="22"/>
                      <w:szCs w:val="22"/>
                    </w:rPr>
                    <w:t>,</w:t>
                  </w:r>
                  <w:r>
                    <w:rPr>
                      <w:rFonts w:ascii="Open Sans Light" w:hAnsi="Open Sans Light" w:cs="Open Sans Light"/>
                      <w:sz w:val="22"/>
                      <w:szCs w:val="22"/>
                    </w:rPr>
                    <w:t xml:space="preserve"> TUI </w:t>
                  </w:r>
                  <w:r w:rsidR="00F27054">
                    <w:rPr>
                      <w:rFonts w:ascii="Open Sans Light" w:hAnsi="Open Sans Light" w:cs="Open Sans Light"/>
                      <w:sz w:val="22"/>
                      <w:szCs w:val="22"/>
                    </w:rPr>
                    <w:t>can</w:t>
                  </w:r>
                  <w:r>
                    <w:rPr>
                      <w:rFonts w:ascii="Open Sans Light" w:hAnsi="Open Sans Light" w:cs="Open Sans Light"/>
                      <w:sz w:val="22"/>
                      <w:szCs w:val="22"/>
                    </w:rPr>
                    <w:t xml:space="preserve">not </w:t>
                  </w:r>
                  <w:r w:rsidR="007E22F9">
                    <w:rPr>
                      <w:rFonts w:ascii="Open Sans Light" w:hAnsi="Open Sans Light" w:cs="Open Sans Light"/>
                      <w:sz w:val="22"/>
                      <w:szCs w:val="22"/>
                    </w:rPr>
                    <w:t>g</w:t>
                  </w:r>
                  <w:r>
                    <w:rPr>
                      <w:rFonts w:ascii="Open Sans Light" w:hAnsi="Open Sans Light" w:cs="Open Sans Light"/>
                      <w:sz w:val="22"/>
                      <w:szCs w:val="22"/>
                    </w:rPr>
                    <w:t>e</w:t>
                  </w:r>
                  <w:r w:rsidR="007E22F9">
                    <w:rPr>
                      <w:rFonts w:ascii="Open Sans Light" w:hAnsi="Open Sans Light" w:cs="Open Sans Light"/>
                      <w:sz w:val="22"/>
                      <w:szCs w:val="22"/>
                    </w:rPr>
                    <w:t>t</w:t>
                  </w:r>
                  <w:r>
                    <w:rPr>
                      <w:rFonts w:ascii="Open Sans Light" w:hAnsi="Open Sans Light" w:cs="Open Sans Light"/>
                      <w:sz w:val="22"/>
                      <w:szCs w:val="22"/>
                    </w:rPr>
                    <w:t xml:space="preserve"> BoE support</w:t>
                  </w:r>
                  <w:r w:rsidR="007E22F9">
                    <w:rPr>
                      <w:rFonts w:ascii="Open Sans Light" w:hAnsi="Open Sans Light" w:cs="Open Sans Light"/>
                      <w:sz w:val="22"/>
                      <w:szCs w:val="22"/>
                    </w:rPr>
                    <w:t xml:space="preserve"> due to ‘junk’ rating.</w:t>
                  </w:r>
                </w:p>
              </w:tc>
            </w:tr>
            <w:tr w:rsidR="00A6357A" w14:paraId="038E1A59" w14:textId="77777777" w:rsidTr="00D50ACC">
              <w:trPr>
                <w:trHeight w:val="651"/>
              </w:trPr>
              <w:tc>
                <w:tcPr>
                  <w:tcW w:w="1079" w:type="dxa"/>
                </w:tcPr>
                <w:p w14:paraId="1648C42B" w14:textId="309D4EC4" w:rsidR="00A6357A" w:rsidRDefault="00A6357A" w:rsidP="00A6357A">
                  <w:pPr>
                    <w:spacing w:before="120" w:after="120"/>
                    <w:jc w:val="both"/>
                    <w:rPr>
                      <w:rFonts w:ascii="Open Sans Light" w:hAnsi="Open Sans Light" w:cs="Open Sans Light"/>
                      <w:sz w:val="22"/>
                      <w:szCs w:val="22"/>
                    </w:rPr>
                  </w:pPr>
                  <w:r>
                    <w:rPr>
                      <w:rFonts w:ascii="Open Sans Light" w:hAnsi="Open Sans Light"/>
                      <w:sz w:val="22"/>
                    </w:rPr>
                    <w:t>Wizz Air</w:t>
                  </w:r>
                </w:p>
              </w:tc>
              <w:tc>
                <w:tcPr>
                  <w:tcW w:w="1847" w:type="dxa"/>
                </w:tcPr>
                <w:p w14:paraId="6E441320" w14:textId="407F7D82" w:rsidR="00A6357A" w:rsidRDefault="006A421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€1.5bn cash (end March 2020) </w:t>
                  </w:r>
                  <w:r w:rsidR="00277167">
                    <w:rPr>
                      <w:rFonts w:ascii="Open Sans Light" w:hAnsi="Open Sans Light" w:cs="Open Sans Light"/>
                      <w:sz w:val="22"/>
                      <w:szCs w:val="22"/>
                    </w:rPr>
                    <w:t>€728m net debt</w:t>
                  </w:r>
                </w:p>
              </w:tc>
              <w:tc>
                <w:tcPr>
                  <w:tcW w:w="1129" w:type="dxa"/>
                </w:tcPr>
                <w:p w14:paraId="308EFF68" w14:textId="200374DE" w:rsidR="00A6357A" w:rsidRDefault="00A6357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+£300m (BoE)</w:t>
                  </w:r>
                </w:p>
                <w:p w14:paraId="449EAB2F" w14:textId="77777777" w:rsidR="00A6357A" w:rsidRDefault="00A6357A" w:rsidP="00A6357A">
                  <w:pPr>
                    <w:spacing w:before="120" w:after="120"/>
                    <w:jc w:val="both"/>
                    <w:rPr>
                      <w:rFonts w:ascii="Open Sans Light" w:hAnsi="Open Sans Light" w:cs="Open Sans Light"/>
                      <w:sz w:val="22"/>
                      <w:szCs w:val="22"/>
                    </w:rPr>
                  </w:pPr>
                </w:p>
              </w:tc>
              <w:tc>
                <w:tcPr>
                  <w:tcW w:w="1418" w:type="dxa"/>
                </w:tcPr>
                <w:p w14:paraId="161A0DF5" w14:textId="54F3B120" w:rsidR="00A6357A" w:rsidRDefault="006A421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N/A</w:t>
                  </w:r>
                </w:p>
              </w:tc>
              <w:tc>
                <w:tcPr>
                  <w:tcW w:w="2174" w:type="dxa"/>
                </w:tcPr>
                <w:p w14:paraId="1B96CEF4" w14:textId="5A1CFED7" w:rsidR="00A6357A" w:rsidRDefault="006A421A" w:rsidP="00A6357A">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strong </w:t>
                  </w:r>
                  <w:r w:rsidR="009E5765">
                    <w:rPr>
                      <w:rFonts w:ascii="Open Sans Light" w:hAnsi="Open Sans Light" w:cs="Open Sans Light"/>
                      <w:sz w:val="22"/>
                      <w:szCs w:val="22"/>
                    </w:rPr>
                    <w:t>cash</w:t>
                  </w:r>
                  <w:r w:rsidR="00277167">
                    <w:rPr>
                      <w:rFonts w:ascii="Open Sans Light" w:hAnsi="Open Sans Light" w:cs="Open Sans Light"/>
                      <w:sz w:val="22"/>
                      <w:szCs w:val="22"/>
                    </w:rPr>
                    <w:t xml:space="preserve"> but</w:t>
                  </w:r>
                  <w:r w:rsidR="009E5765">
                    <w:rPr>
                      <w:rFonts w:ascii="Open Sans Light" w:hAnsi="Open Sans Light" w:cs="Open Sans Light"/>
                      <w:sz w:val="22"/>
                      <w:szCs w:val="22"/>
                    </w:rPr>
                    <w:t xml:space="preserve"> </w:t>
                  </w:r>
                  <w:r w:rsidR="00A77D5F">
                    <w:rPr>
                      <w:rFonts w:ascii="Open Sans Light" w:hAnsi="Open Sans Light" w:cs="Open Sans Light"/>
                      <w:sz w:val="22"/>
                      <w:szCs w:val="22"/>
                    </w:rPr>
                    <w:t>no</w:t>
                  </w:r>
                  <w:r w:rsidR="009E5765">
                    <w:rPr>
                      <w:rFonts w:ascii="Open Sans Light" w:hAnsi="Open Sans Light" w:cs="Open Sans Light"/>
                      <w:sz w:val="22"/>
                      <w:szCs w:val="22"/>
                    </w:rPr>
                    <w:t xml:space="preserve"> </w:t>
                  </w:r>
                  <w:r w:rsidR="00277167">
                    <w:rPr>
                      <w:rFonts w:ascii="Open Sans Light" w:hAnsi="Open Sans Light" w:cs="Open Sans Light"/>
                      <w:sz w:val="22"/>
                      <w:szCs w:val="22"/>
                    </w:rPr>
                    <w:t>guidance</w:t>
                  </w:r>
                  <w:r w:rsidR="009E5765">
                    <w:rPr>
                      <w:rFonts w:ascii="Open Sans Light" w:hAnsi="Open Sans Light" w:cs="Open Sans Light"/>
                      <w:sz w:val="22"/>
                      <w:szCs w:val="22"/>
                    </w:rPr>
                    <w:t>.</w:t>
                  </w:r>
                  <w:r w:rsidR="00277167">
                    <w:rPr>
                      <w:rFonts w:ascii="Open Sans Light" w:hAnsi="Open Sans Light" w:cs="Open Sans Light"/>
                      <w:sz w:val="22"/>
                      <w:szCs w:val="22"/>
                    </w:rPr>
                    <w:t xml:space="preserve"> June </w:t>
                  </w:r>
                  <w:r w:rsidR="009E5765">
                    <w:rPr>
                      <w:rFonts w:ascii="Open Sans Light" w:hAnsi="Open Sans Light" w:cs="Open Sans Light"/>
                      <w:sz w:val="22"/>
                      <w:szCs w:val="22"/>
                    </w:rPr>
                    <w:t>traffic</w:t>
                  </w:r>
                  <w:r w:rsidR="00277167">
                    <w:rPr>
                      <w:rFonts w:ascii="Open Sans Light" w:hAnsi="Open Sans Light" w:cs="Open Sans Light"/>
                      <w:sz w:val="22"/>
                      <w:szCs w:val="22"/>
                    </w:rPr>
                    <w:t xml:space="preserve"> fell 86%</w:t>
                  </w:r>
                  <w:r w:rsidR="00A77D5F">
                    <w:rPr>
                      <w:rFonts w:ascii="Open Sans Light" w:hAnsi="Open Sans Light" w:cs="Open Sans Light"/>
                      <w:sz w:val="22"/>
                      <w:szCs w:val="22"/>
                    </w:rPr>
                    <w:t>, co has cut 19% staff</w:t>
                  </w:r>
                </w:p>
              </w:tc>
            </w:tr>
          </w:tbl>
          <w:p w14:paraId="62BC5779" w14:textId="4A535E61" w:rsidR="00335389" w:rsidRPr="00C23548" w:rsidRDefault="009E5765" w:rsidP="00C676FE">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The </w:t>
            </w:r>
            <w:r w:rsidR="006D005C">
              <w:rPr>
                <w:rFonts w:ascii="Open Sans Light" w:hAnsi="Open Sans Light" w:cs="Open Sans Light"/>
                <w:sz w:val="22"/>
                <w:szCs w:val="22"/>
              </w:rPr>
              <w:t xml:space="preserve">airline </w:t>
            </w:r>
            <w:r>
              <w:rPr>
                <w:rFonts w:ascii="Open Sans Light" w:hAnsi="Open Sans Light" w:cs="Open Sans Light"/>
                <w:sz w:val="22"/>
                <w:szCs w:val="22"/>
              </w:rPr>
              <w:t>sector</w:t>
            </w:r>
            <w:r w:rsidR="006D005C">
              <w:rPr>
                <w:rFonts w:ascii="Open Sans Light" w:hAnsi="Open Sans Light" w:cs="Open Sans Light"/>
                <w:sz w:val="22"/>
                <w:szCs w:val="22"/>
              </w:rPr>
              <w:t>’s</w:t>
            </w:r>
            <w:r>
              <w:rPr>
                <w:rFonts w:ascii="Open Sans Light" w:hAnsi="Open Sans Light" w:cs="Open Sans Light"/>
                <w:sz w:val="22"/>
                <w:szCs w:val="22"/>
              </w:rPr>
              <w:t xml:space="preserve"> significant cash</w:t>
            </w:r>
            <w:r w:rsidR="006D005C">
              <w:rPr>
                <w:rFonts w:ascii="Open Sans Light" w:hAnsi="Open Sans Light" w:cs="Open Sans Light"/>
                <w:sz w:val="22"/>
                <w:szCs w:val="22"/>
              </w:rPr>
              <w:t xml:space="preserve"> post BoE and other government loan drawdowns and some new share issuance is likely the high- water mark for Covid-19 liquidity. Going forward into H2 2020 there is far more equity dilution risk if passenger travel does not </w:t>
            </w:r>
            <w:r w:rsidR="006D005C">
              <w:rPr>
                <w:rFonts w:ascii="Open Sans Light" w:hAnsi="Open Sans Light" w:cs="Open Sans Light"/>
                <w:sz w:val="22"/>
                <w:szCs w:val="22"/>
              </w:rPr>
              <w:lastRenderedPageBreak/>
              <w:t xml:space="preserve">stage a meaningful recovery </w:t>
            </w:r>
            <w:r w:rsidR="00802AB8">
              <w:rPr>
                <w:rFonts w:ascii="Open Sans Light" w:hAnsi="Open Sans Light" w:cs="Open Sans Light"/>
                <w:sz w:val="22"/>
                <w:szCs w:val="22"/>
              </w:rPr>
              <w:t xml:space="preserve">over Q3 </w:t>
            </w:r>
            <w:r w:rsidR="006D005C">
              <w:rPr>
                <w:rFonts w:ascii="Open Sans Light" w:hAnsi="Open Sans Light" w:cs="Open Sans Light"/>
                <w:sz w:val="22"/>
                <w:szCs w:val="22"/>
              </w:rPr>
              <w:t>to forecast levels of demand of c. 50% of 2019 comparable period.</w:t>
            </w:r>
            <w:r w:rsidR="00802AB8">
              <w:rPr>
                <w:rFonts w:ascii="Open Sans Light" w:hAnsi="Open Sans Light" w:cs="Open Sans Light"/>
                <w:sz w:val="22"/>
                <w:szCs w:val="22"/>
              </w:rPr>
              <w:t xml:space="preserve"> </w:t>
            </w:r>
            <w:r w:rsidR="00F27054">
              <w:rPr>
                <w:rFonts w:ascii="Open Sans Light" w:hAnsi="Open Sans Light" w:cs="Open Sans Light"/>
                <w:sz w:val="22"/>
                <w:szCs w:val="22"/>
              </w:rPr>
              <w:t>There is limited data on travel refunds/ vouchers at leading airlines</w:t>
            </w:r>
            <w:r>
              <w:rPr>
                <w:rFonts w:ascii="Open Sans Light" w:hAnsi="Open Sans Light" w:cs="Open Sans Light"/>
                <w:sz w:val="22"/>
                <w:szCs w:val="22"/>
              </w:rPr>
              <w:t xml:space="preserve"> hence the expectation we expect cash levels to reflect pre-payments/ refunds and vouchers by Q3 2020.</w:t>
            </w:r>
          </w:p>
          <w:p w14:paraId="42E58168" w14:textId="02923F01" w:rsidR="00802AB8" w:rsidRPr="00802AB8" w:rsidRDefault="00802AB8" w:rsidP="00802AB8">
            <w:pPr>
              <w:spacing w:after="120"/>
              <w:rPr>
                <w:rFonts w:ascii="Open Sans Semibold" w:hAnsi="Open Sans Semibold"/>
                <w:color w:val="005D2A"/>
                <w:sz w:val="32"/>
                <w:szCs w:val="32"/>
              </w:rPr>
            </w:pPr>
            <w:r>
              <w:rPr>
                <w:rFonts w:ascii="Open Sans Semibold" w:hAnsi="Open Sans Semibold"/>
                <w:color w:val="005D2A"/>
                <w:sz w:val="32"/>
                <w:szCs w:val="32"/>
              </w:rPr>
              <w:t xml:space="preserve">How </w:t>
            </w:r>
            <w:r w:rsidR="00AB75E0">
              <w:rPr>
                <w:rFonts w:ascii="Open Sans Semibold" w:hAnsi="Open Sans Semibold"/>
                <w:color w:val="005D2A"/>
                <w:sz w:val="32"/>
                <w:szCs w:val="32"/>
              </w:rPr>
              <w:t>much time does current funding buy</w:t>
            </w:r>
            <w:r>
              <w:rPr>
                <w:rFonts w:ascii="Open Sans Semibold" w:hAnsi="Open Sans Semibold"/>
                <w:color w:val="005D2A"/>
                <w:sz w:val="32"/>
                <w:szCs w:val="32"/>
              </w:rPr>
              <w:t>?</w:t>
            </w:r>
          </w:p>
          <w:p w14:paraId="4C8D6CEF" w14:textId="16571229" w:rsidR="00AB75E0" w:rsidRDefault="00AB75E0" w:rsidP="006F7109">
            <w:pPr>
              <w:spacing w:before="120" w:after="120"/>
              <w:jc w:val="both"/>
              <w:rPr>
                <w:rFonts w:ascii="Open Sans Light" w:hAnsi="Open Sans Light"/>
                <w:sz w:val="22"/>
              </w:rPr>
            </w:pPr>
            <w:r>
              <w:rPr>
                <w:rFonts w:ascii="Open Sans Light" w:hAnsi="Open Sans Light"/>
                <w:sz w:val="22"/>
              </w:rPr>
              <w:t xml:space="preserve">Current </w:t>
            </w:r>
            <w:r w:rsidR="007E22F9">
              <w:rPr>
                <w:rFonts w:ascii="Open Sans Light" w:hAnsi="Open Sans Light"/>
                <w:sz w:val="22"/>
              </w:rPr>
              <w:t xml:space="preserve">‘cash burn’ </w:t>
            </w:r>
            <w:r>
              <w:rPr>
                <w:rFonts w:ascii="Open Sans Light" w:hAnsi="Open Sans Light"/>
                <w:sz w:val="22"/>
              </w:rPr>
              <w:t xml:space="preserve">forecasts suggest the </w:t>
            </w:r>
            <w:r w:rsidR="00C553C7">
              <w:rPr>
                <w:rFonts w:ascii="Open Sans Light" w:hAnsi="Open Sans Light"/>
                <w:sz w:val="22"/>
              </w:rPr>
              <w:t xml:space="preserve">airline </w:t>
            </w:r>
            <w:r>
              <w:rPr>
                <w:rFonts w:ascii="Open Sans Light" w:hAnsi="Open Sans Light"/>
                <w:sz w:val="22"/>
              </w:rPr>
              <w:t>sector has adequate cash levels for managing this environment for the remainder of 2020.</w:t>
            </w:r>
            <w:r w:rsidR="00C553C7">
              <w:rPr>
                <w:rFonts w:ascii="Open Sans Light" w:hAnsi="Open Sans Light"/>
                <w:sz w:val="22"/>
              </w:rPr>
              <w:t xml:space="preserve"> A demand uptick would rapidly reduce cash burn over 2020.</w:t>
            </w:r>
          </w:p>
          <w:tbl>
            <w:tblPr>
              <w:tblStyle w:val="TableGrid"/>
              <w:tblW w:w="7647" w:type="dxa"/>
              <w:tblLayout w:type="fixed"/>
              <w:tblLook w:val="04A0" w:firstRow="1" w:lastRow="0" w:firstColumn="1" w:lastColumn="0" w:noHBand="0" w:noVBand="1"/>
            </w:tblPr>
            <w:tblGrid>
              <w:gridCol w:w="1079"/>
              <w:gridCol w:w="1847"/>
              <w:gridCol w:w="1129"/>
              <w:gridCol w:w="1418"/>
              <w:gridCol w:w="2174"/>
            </w:tblGrid>
            <w:tr w:rsidR="00802AB8" w14:paraId="55691B70" w14:textId="77777777" w:rsidTr="00473353">
              <w:tc>
                <w:tcPr>
                  <w:tcW w:w="1079" w:type="dxa"/>
                </w:tcPr>
                <w:p w14:paraId="676338B8"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sz w:val="22"/>
                    </w:rPr>
                    <w:t>Airline</w:t>
                  </w:r>
                </w:p>
              </w:tc>
              <w:tc>
                <w:tcPr>
                  <w:tcW w:w="1847" w:type="dxa"/>
                </w:tcPr>
                <w:p w14:paraId="6483E3ED"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Liquidity (cash + bank facility)</w:t>
                  </w:r>
                </w:p>
              </w:tc>
              <w:tc>
                <w:tcPr>
                  <w:tcW w:w="1129" w:type="dxa"/>
                </w:tcPr>
                <w:p w14:paraId="32CBE951" w14:textId="79C61257" w:rsidR="00316F5A" w:rsidRDefault="00802AB8" w:rsidP="00316F5A">
                  <w:pPr>
                    <w:spacing w:before="120" w:after="120"/>
                    <w:jc w:val="both"/>
                    <w:rPr>
                      <w:rFonts w:ascii="Open Sans Light" w:hAnsi="Open Sans Light" w:cs="Open Sans Light"/>
                      <w:sz w:val="22"/>
                      <w:szCs w:val="22"/>
                    </w:rPr>
                  </w:pPr>
                  <w:r>
                    <w:rPr>
                      <w:rFonts w:ascii="Open Sans Light" w:hAnsi="Open Sans Light" w:cs="Open Sans Light"/>
                      <w:sz w:val="22"/>
                      <w:szCs w:val="22"/>
                    </w:rPr>
                    <w:t>‘Cash Burn’</w:t>
                  </w:r>
                  <w:r w:rsidR="00316F5A">
                    <w:rPr>
                      <w:rFonts w:ascii="Open Sans Light" w:hAnsi="Open Sans Light" w:cs="Open Sans Light"/>
                      <w:sz w:val="22"/>
                      <w:szCs w:val="22"/>
                    </w:rPr>
                    <w:t xml:space="preserve"> </w:t>
                  </w:r>
                  <w:r w:rsidR="00372905">
                    <w:rPr>
                      <w:rFonts w:ascii="Open Sans Light" w:hAnsi="Open Sans Light" w:cs="Open Sans Light"/>
                      <w:sz w:val="22"/>
                      <w:szCs w:val="22"/>
                    </w:rPr>
                    <w:t>estimate</w:t>
                  </w:r>
                </w:p>
              </w:tc>
              <w:tc>
                <w:tcPr>
                  <w:tcW w:w="1418" w:type="dxa"/>
                </w:tcPr>
                <w:p w14:paraId="53C2A9AF" w14:textId="46F5E49C" w:rsidR="00802AB8" w:rsidRDefault="00802AB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Months</w:t>
                  </w:r>
                  <w:r w:rsidR="00316F5A">
                    <w:rPr>
                      <w:rFonts w:ascii="Open Sans Light" w:hAnsi="Open Sans Light" w:cs="Open Sans Light"/>
                      <w:sz w:val="22"/>
                      <w:szCs w:val="22"/>
                    </w:rPr>
                    <w:t xml:space="preserve"> (Q2 conditions)</w:t>
                  </w:r>
                </w:p>
              </w:tc>
              <w:tc>
                <w:tcPr>
                  <w:tcW w:w="2174" w:type="dxa"/>
                </w:tcPr>
                <w:p w14:paraId="6DF46F92"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Comment</w:t>
                  </w:r>
                </w:p>
              </w:tc>
            </w:tr>
            <w:tr w:rsidR="00802AB8" w14:paraId="526C02F2" w14:textId="77777777" w:rsidTr="00473353">
              <w:tc>
                <w:tcPr>
                  <w:tcW w:w="1079" w:type="dxa"/>
                </w:tcPr>
                <w:p w14:paraId="3C4E8B01"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sz w:val="22"/>
                    </w:rPr>
                    <w:t>Dart Group</w:t>
                  </w:r>
                </w:p>
              </w:tc>
              <w:tc>
                <w:tcPr>
                  <w:tcW w:w="1847" w:type="dxa"/>
                </w:tcPr>
                <w:p w14:paraId="2C376DBF" w14:textId="20AE16D8" w:rsidR="00802AB8" w:rsidRDefault="00802AB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w:t>
                  </w:r>
                  <w:r w:rsidR="00372905">
                    <w:rPr>
                      <w:rFonts w:ascii="Open Sans Light" w:hAnsi="Open Sans Light" w:cs="Open Sans Light"/>
                      <w:sz w:val="22"/>
                      <w:szCs w:val="22"/>
                    </w:rPr>
                    <w:t>2</w:t>
                  </w:r>
                  <w:r>
                    <w:rPr>
                      <w:rFonts w:ascii="Open Sans Light" w:hAnsi="Open Sans Light" w:cs="Open Sans Light"/>
                      <w:sz w:val="22"/>
                      <w:szCs w:val="22"/>
                    </w:rPr>
                    <w:t>.</w:t>
                  </w:r>
                  <w:r w:rsidR="00372905">
                    <w:rPr>
                      <w:rFonts w:ascii="Open Sans Light" w:hAnsi="Open Sans Light" w:cs="Open Sans Light"/>
                      <w:sz w:val="22"/>
                      <w:szCs w:val="22"/>
                    </w:rPr>
                    <w:t>17</w:t>
                  </w:r>
                  <w:r>
                    <w:rPr>
                      <w:rFonts w:ascii="Open Sans Light" w:hAnsi="Open Sans Light" w:cs="Open Sans Light"/>
                      <w:sz w:val="22"/>
                      <w:szCs w:val="22"/>
                    </w:rPr>
                    <w:t>bn available</w:t>
                  </w:r>
                </w:p>
              </w:tc>
              <w:tc>
                <w:tcPr>
                  <w:tcW w:w="1129" w:type="dxa"/>
                </w:tcPr>
                <w:p w14:paraId="1406702E" w14:textId="588CD237" w:rsidR="00802AB8" w:rsidRDefault="00372905"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c. £6</w:t>
                  </w:r>
                  <w:r w:rsidR="00AB75E0">
                    <w:rPr>
                      <w:rFonts w:ascii="Open Sans Light" w:hAnsi="Open Sans Light" w:cs="Open Sans Light"/>
                      <w:sz w:val="22"/>
                      <w:szCs w:val="22"/>
                    </w:rPr>
                    <w:t>0</w:t>
                  </w:r>
                  <w:r>
                    <w:rPr>
                      <w:rFonts w:ascii="Open Sans Light" w:hAnsi="Open Sans Light" w:cs="Open Sans Light"/>
                      <w:sz w:val="22"/>
                      <w:szCs w:val="22"/>
                    </w:rPr>
                    <w:t>m pcm</w:t>
                  </w:r>
                </w:p>
              </w:tc>
              <w:tc>
                <w:tcPr>
                  <w:tcW w:w="1418" w:type="dxa"/>
                </w:tcPr>
                <w:p w14:paraId="560A585F" w14:textId="097DB15C" w:rsidR="00802AB8" w:rsidRDefault="00A77D5F"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&gt;12 months</w:t>
                  </w:r>
                </w:p>
              </w:tc>
              <w:tc>
                <w:tcPr>
                  <w:tcW w:w="2174" w:type="dxa"/>
                </w:tcPr>
                <w:p w14:paraId="65ED0F2C" w14:textId="02D7BD0C"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Strong position</w:t>
                  </w:r>
                </w:p>
              </w:tc>
            </w:tr>
            <w:tr w:rsidR="00802AB8" w14:paraId="29338FDA" w14:textId="77777777" w:rsidTr="00473353">
              <w:tc>
                <w:tcPr>
                  <w:tcW w:w="1079" w:type="dxa"/>
                </w:tcPr>
                <w:p w14:paraId="14B9D057" w14:textId="77777777" w:rsidR="00802AB8" w:rsidRDefault="00802AB8" w:rsidP="00802AB8">
                  <w:pPr>
                    <w:spacing w:before="120" w:after="120"/>
                    <w:jc w:val="both"/>
                    <w:rPr>
                      <w:rFonts w:ascii="Open Sans Light" w:hAnsi="Open Sans Light" w:cs="Open Sans Light"/>
                      <w:sz w:val="22"/>
                      <w:szCs w:val="22"/>
                    </w:rPr>
                  </w:pPr>
                  <w:proofErr w:type="spellStart"/>
                  <w:r>
                    <w:rPr>
                      <w:rFonts w:ascii="Open Sans Light" w:hAnsi="Open Sans Light"/>
                      <w:sz w:val="22"/>
                    </w:rPr>
                    <w:t>Easyjet</w:t>
                  </w:r>
                  <w:proofErr w:type="spellEnd"/>
                </w:p>
              </w:tc>
              <w:tc>
                <w:tcPr>
                  <w:tcW w:w="1847" w:type="dxa"/>
                </w:tcPr>
                <w:p w14:paraId="377A4597" w14:textId="5394C7C5" w:rsidR="00802AB8" w:rsidRDefault="00316F5A"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c. </w:t>
                  </w:r>
                  <w:r w:rsidR="00802AB8">
                    <w:rPr>
                      <w:rFonts w:ascii="Open Sans Light" w:hAnsi="Open Sans Light" w:cs="Open Sans Light"/>
                      <w:sz w:val="22"/>
                      <w:szCs w:val="22"/>
                    </w:rPr>
                    <w:t>£1.</w:t>
                  </w:r>
                  <w:r>
                    <w:rPr>
                      <w:rFonts w:ascii="Open Sans Light" w:hAnsi="Open Sans Light" w:cs="Open Sans Light"/>
                      <w:sz w:val="22"/>
                      <w:szCs w:val="22"/>
                    </w:rPr>
                    <w:t>4bn available</w:t>
                  </w:r>
                </w:p>
              </w:tc>
              <w:tc>
                <w:tcPr>
                  <w:tcW w:w="1129" w:type="dxa"/>
                </w:tcPr>
                <w:p w14:paraId="3248D0BC" w14:textId="0DA4ACE3" w:rsidR="00802AB8" w:rsidRDefault="00316F5A"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£330m pcm declining to £200m</w:t>
                  </w:r>
                </w:p>
              </w:tc>
              <w:tc>
                <w:tcPr>
                  <w:tcW w:w="1418" w:type="dxa"/>
                </w:tcPr>
                <w:p w14:paraId="2E7C8EF2" w14:textId="06835D58"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c. </w:t>
                  </w:r>
                  <w:r w:rsidR="00316F5A">
                    <w:rPr>
                      <w:rFonts w:ascii="Open Sans Light" w:hAnsi="Open Sans Light" w:cs="Open Sans Light"/>
                      <w:sz w:val="22"/>
                      <w:szCs w:val="22"/>
                    </w:rPr>
                    <w:t>6</w:t>
                  </w:r>
                  <w:r>
                    <w:rPr>
                      <w:rFonts w:ascii="Open Sans Light" w:hAnsi="Open Sans Light" w:cs="Open Sans Light"/>
                      <w:sz w:val="22"/>
                      <w:szCs w:val="22"/>
                    </w:rPr>
                    <w:t>-9</w:t>
                  </w:r>
                  <w:r w:rsidR="00316F5A">
                    <w:rPr>
                      <w:rFonts w:ascii="Open Sans Light" w:hAnsi="Open Sans Light" w:cs="Open Sans Light"/>
                      <w:sz w:val="22"/>
                      <w:szCs w:val="22"/>
                    </w:rPr>
                    <w:t xml:space="preserve"> months</w:t>
                  </w:r>
                </w:p>
              </w:tc>
              <w:tc>
                <w:tcPr>
                  <w:tcW w:w="2174" w:type="dxa"/>
                </w:tcPr>
                <w:p w14:paraId="7B849ACC" w14:textId="7A006E0D" w:rsidR="00802AB8" w:rsidRDefault="006E766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W</w:t>
                  </w:r>
                  <w:r w:rsidR="00AB75E0">
                    <w:rPr>
                      <w:rFonts w:ascii="Open Sans Light" w:hAnsi="Open Sans Light" w:cs="Open Sans Light"/>
                      <w:sz w:val="22"/>
                      <w:szCs w:val="22"/>
                    </w:rPr>
                    <w:t>eak position v peer</w:t>
                  </w:r>
                  <w:r>
                    <w:rPr>
                      <w:rFonts w:ascii="Open Sans Light" w:hAnsi="Open Sans Light" w:cs="Open Sans Light"/>
                      <w:sz w:val="22"/>
                      <w:szCs w:val="22"/>
                    </w:rPr>
                    <w:t>s especially RYA</w:t>
                  </w:r>
                </w:p>
              </w:tc>
            </w:tr>
            <w:tr w:rsidR="00802AB8" w14:paraId="3B817E48" w14:textId="77777777" w:rsidTr="00473353">
              <w:tc>
                <w:tcPr>
                  <w:tcW w:w="1079" w:type="dxa"/>
                </w:tcPr>
                <w:p w14:paraId="3A226EE5"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sz w:val="22"/>
                    </w:rPr>
                    <w:t>IAG</w:t>
                  </w:r>
                </w:p>
              </w:tc>
              <w:tc>
                <w:tcPr>
                  <w:tcW w:w="1847" w:type="dxa"/>
                </w:tcPr>
                <w:p w14:paraId="560512B8" w14:textId="14C7F104" w:rsidR="00802AB8" w:rsidRDefault="00316F5A"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€8.2bn</w:t>
                  </w:r>
                </w:p>
              </w:tc>
              <w:tc>
                <w:tcPr>
                  <w:tcW w:w="1129" w:type="dxa"/>
                </w:tcPr>
                <w:p w14:paraId="2FAD630A" w14:textId="3CBC70EF" w:rsidR="00802AB8" w:rsidRDefault="00316F5A"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€866m pcm declining to €300m</w:t>
                  </w:r>
                </w:p>
              </w:tc>
              <w:tc>
                <w:tcPr>
                  <w:tcW w:w="1418" w:type="dxa"/>
                </w:tcPr>
                <w:p w14:paraId="29BD4A08" w14:textId="06B3A3FF" w:rsidR="00802AB8" w:rsidRDefault="00316F5A"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9 -12 months</w:t>
                  </w:r>
                </w:p>
              </w:tc>
              <w:tc>
                <w:tcPr>
                  <w:tcW w:w="2174" w:type="dxa"/>
                </w:tcPr>
                <w:p w14:paraId="5DCDCEC0" w14:textId="59130955"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IAG has not had an equity issue and fundraising has been modest. Overall position is </w:t>
                  </w:r>
                  <w:r w:rsidR="006E7668">
                    <w:rPr>
                      <w:rFonts w:ascii="Open Sans Light" w:hAnsi="Open Sans Light" w:cs="Open Sans Light"/>
                      <w:sz w:val="22"/>
                      <w:szCs w:val="22"/>
                    </w:rPr>
                    <w:t>ok</w:t>
                  </w:r>
                </w:p>
              </w:tc>
            </w:tr>
            <w:tr w:rsidR="00802AB8" w14:paraId="33167E1D" w14:textId="77777777" w:rsidTr="00473353">
              <w:tc>
                <w:tcPr>
                  <w:tcW w:w="1079" w:type="dxa"/>
                </w:tcPr>
                <w:p w14:paraId="71D66486"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sz w:val="22"/>
                    </w:rPr>
                    <w:t>Ryanair</w:t>
                  </w:r>
                </w:p>
              </w:tc>
              <w:tc>
                <w:tcPr>
                  <w:tcW w:w="1847" w:type="dxa"/>
                </w:tcPr>
                <w:p w14:paraId="48DB56C0"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€4.1bn cash (18</w:t>
                  </w:r>
                  <w:r w:rsidRPr="008D31A4">
                    <w:rPr>
                      <w:rFonts w:ascii="Open Sans Light" w:hAnsi="Open Sans Light" w:cs="Open Sans Light"/>
                      <w:sz w:val="22"/>
                      <w:szCs w:val="22"/>
                      <w:vertAlign w:val="superscript"/>
                    </w:rPr>
                    <w:t>th</w:t>
                  </w:r>
                  <w:r>
                    <w:rPr>
                      <w:rFonts w:ascii="Open Sans Light" w:hAnsi="Open Sans Light" w:cs="Open Sans Light"/>
                      <w:sz w:val="22"/>
                      <w:szCs w:val="22"/>
                    </w:rPr>
                    <w:t xml:space="preserve"> May 2020)</w:t>
                  </w:r>
                </w:p>
              </w:tc>
              <w:tc>
                <w:tcPr>
                  <w:tcW w:w="1129" w:type="dxa"/>
                </w:tcPr>
                <w:p w14:paraId="219BD726" w14:textId="46B13E5C" w:rsidR="00802AB8" w:rsidRDefault="00316F5A"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€260m pcm</w:t>
                  </w:r>
                </w:p>
                <w:p w14:paraId="729986A6" w14:textId="77777777" w:rsidR="00802AB8" w:rsidRDefault="00802AB8" w:rsidP="00802AB8">
                  <w:pPr>
                    <w:spacing w:before="120" w:after="120"/>
                    <w:jc w:val="both"/>
                    <w:rPr>
                      <w:rFonts w:ascii="Open Sans Light" w:hAnsi="Open Sans Light" w:cs="Open Sans Light"/>
                      <w:sz w:val="22"/>
                      <w:szCs w:val="22"/>
                    </w:rPr>
                  </w:pPr>
                </w:p>
              </w:tc>
              <w:tc>
                <w:tcPr>
                  <w:tcW w:w="1418" w:type="dxa"/>
                </w:tcPr>
                <w:p w14:paraId="06CF70D7" w14:textId="0E9868A2" w:rsidR="00802AB8" w:rsidRDefault="00A77D5F"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&gt;</w:t>
                  </w:r>
                  <w:r w:rsidR="00316F5A">
                    <w:rPr>
                      <w:rFonts w:ascii="Open Sans Light" w:hAnsi="Open Sans Light" w:cs="Open Sans Light"/>
                      <w:sz w:val="22"/>
                      <w:szCs w:val="22"/>
                    </w:rPr>
                    <w:t>1</w:t>
                  </w:r>
                  <w:r>
                    <w:rPr>
                      <w:rFonts w:ascii="Open Sans Light" w:hAnsi="Open Sans Light" w:cs="Open Sans Light"/>
                      <w:sz w:val="22"/>
                      <w:szCs w:val="22"/>
                    </w:rPr>
                    <w:t>2</w:t>
                  </w:r>
                  <w:r w:rsidR="00316F5A">
                    <w:rPr>
                      <w:rFonts w:ascii="Open Sans Light" w:hAnsi="Open Sans Light" w:cs="Open Sans Light"/>
                      <w:sz w:val="22"/>
                      <w:szCs w:val="22"/>
                    </w:rPr>
                    <w:t xml:space="preserve"> months</w:t>
                  </w:r>
                </w:p>
              </w:tc>
              <w:tc>
                <w:tcPr>
                  <w:tcW w:w="2174" w:type="dxa"/>
                </w:tcPr>
                <w:p w14:paraId="5F28962F" w14:textId="2B9C1EBA"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Very strong position, equity issue unlikely</w:t>
                  </w:r>
                </w:p>
              </w:tc>
            </w:tr>
            <w:tr w:rsidR="00802AB8" w14:paraId="23777262" w14:textId="77777777" w:rsidTr="00473353">
              <w:tc>
                <w:tcPr>
                  <w:tcW w:w="1079" w:type="dxa"/>
                </w:tcPr>
                <w:p w14:paraId="00F0EDBD"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sz w:val="22"/>
                    </w:rPr>
                    <w:t>TUI AG</w:t>
                  </w:r>
                </w:p>
              </w:tc>
              <w:tc>
                <w:tcPr>
                  <w:tcW w:w="1847" w:type="dxa"/>
                </w:tcPr>
                <w:p w14:paraId="35DD1EE9" w14:textId="2FD2121C" w:rsidR="00802AB8" w:rsidRDefault="00802AB8"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w:t>
                  </w:r>
                  <w:r w:rsidR="00316F5A">
                    <w:rPr>
                      <w:rFonts w:ascii="Open Sans Light" w:hAnsi="Open Sans Light" w:cs="Open Sans Light"/>
                      <w:sz w:val="22"/>
                      <w:szCs w:val="22"/>
                    </w:rPr>
                    <w:t>3.6bn</w:t>
                  </w:r>
                </w:p>
              </w:tc>
              <w:tc>
                <w:tcPr>
                  <w:tcW w:w="1129" w:type="dxa"/>
                </w:tcPr>
                <w:p w14:paraId="7EF7B3C6" w14:textId="4FAA2F4B" w:rsidR="00802AB8" w:rsidRDefault="00A77D5F"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w:t>
                  </w:r>
                  <w:r w:rsidR="00AB75E0">
                    <w:rPr>
                      <w:rFonts w:ascii="Open Sans Light" w:hAnsi="Open Sans Light" w:cs="Open Sans Light"/>
                      <w:sz w:val="22"/>
                      <w:szCs w:val="22"/>
                    </w:rPr>
                    <w:t>300</w:t>
                  </w:r>
                  <w:r>
                    <w:rPr>
                      <w:rFonts w:ascii="Open Sans Light" w:hAnsi="Open Sans Light" w:cs="Open Sans Light"/>
                      <w:sz w:val="22"/>
                      <w:szCs w:val="22"/>
                    </w:rPr>
                    <w:t>m pcm</w:t>
                  </w:r>
                </w:p>
              </w:tc>
              <w:tc>
                <w:tcPr>
                  <w:tcW w:w="1418" w:type="dxa"/>
                </w:tcPr>
                <w:p w14:paraId="7FB8A425" w14:textId="3F5F8A73"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12 months</w:t>
                  </w:r>
                </w:p>
              </w:tc>
              <w:tc>
                <w:tcPr>
                  <w:tcW w:w="2174" w:type="dxa"/>
                </w:tcPr>
                <w:p w14:paraId="697E0AF6" w14:textId="4D1ED3E4"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 xml:space="preserve">Strong position </w:t>
                  </w:r>
                </w:p>
              </w:tc>
            </w:tr>
            <w:tr w:rsidR="00802AB8" w14:paraId="3354CFFE" w14:textId="77777777" w:rsidTr="00473353">
              <w:trPr>
                <w:trHeight w:val="651"/>
              </w:trPr>
              <w:tc>
                <w:tcPr>
                  <w:tcW w:w="1079" w:type="dxa"/>
                </w:tcPr>
                <w:p w14:paraId="386BEC79" w14:textId="77777777" w:rsidR="00802AB8" w:rsidRDefault="00802AB8" w:rsidP="00802AB8">
                  <w:pPr>
                    <w:spacing w:before="120" w:after="120"/>
                    <w:jc w:val="both"/>
                    <w:rPr>
                      <w:rFonts w:ascii="Open Sans Light" w:hAnsi="Open Sans Light" w:cs="Open Sans Light"/>
                      <w:sz w:val="22"/>
                      <w:szCs w:val="22"/>
                    </w:rPr>
                  </w:pPr>
                  <w:r>
                    <w:rPr>
                      <w:rFonts w:ascii="Open Sans Light" w:hAnsi="Open Sans Light"/>
                      <w:sz w:val="22"/>
                    </w:rPr>
                    <w:t>Wizz Air</w:t>
                  </w:r>
                </w:p>
              </w:tc>
              <w:tc>
                <w:tcPr>
                  <w:tcW w:w="1847" w:type="dxa"/>
                </w:tcPr>
                <w:p w14:paraId="1F5BB3C1" w14:textId="56E6720E" w:rsidR="00802AB8" w:rsidRDefault="00372905"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€1.8bn</w:t>
                  </w:r>
                </w:p>
              </w:tc>
              <w:tc>
                <w:tcPr>
                  <w:tcW w:w="1129" w:type="dxa"/>
                </w:tcPr>
                <w:p w14:paraId="05E321F4" w14:textId="0E7415D3" w:rsidR="00802AB8" w:rsidRDefault="00A77D5F"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c.€100m p</w:t>
                  </w:r>
                  <w:r w:rsidR="006E7668">
                    <w:rPr>
                      <w:rFonts w:ascii="Open Sans Light" w:hAnsi="Open Sans Light" w:cs="Open Sans Light"/>
                      <w:sz w:val="22"/>
                      <w:szCs w:val="22"/>
                    </w:rPr>
                    <w:t>c</w:t>
                  </w:r>
                  <w:r>
                    <w:rPr>
                      <w:rFonts w:ascii="Open Sans Light" w:hAnsi="Open Sans Light" w:cs="Open Sans Light"/>
                      <w:sz w:val="22"/>
                      <w:szCs w:val="22"/>
                    </w:rPr>
                    <w:t>m</w:t>
                  </w:r>
                </w:p>
              </w:tc>
              <w:tc>
                <w:tcPr>
                  <w:tcW w:w="1418" w:type="dxa"/>
                </w:tcPr>
                <w:p w14:paraId="759A47A2" w14:textId="6868491B" w:rsidR="00802AB8" w:rsidRDefault="00A77D5F"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&gt;12 months</w:t>
                  </w:r>
                </w:p>
              </w:tc>
              <w:tc>
                <w:tcPr>
                  <w:tcW w:w="2174" w:type="dxa"/>
                </w:tcPr>
                <w:p w14:paraId="3ABB0252" w14:textId="61589184" w:rsidR="00802AB8" w:rsidRDefault="00AB75E0" w:rsidP="00802AB8">
                  <w:pPr>
                    <w:spacing w:before="120" w:after="120"/>
                    <w:jc w:val="both"/>
                    <w:rPr>
                      <w:rFonts w:ascii="Open Sans Light" w:hAnsi="Open Sans Light" w:cs="Open Sans Light"/>
                      <w:sz w:val="22"/>
                      <w:szCs w:val="22"/>
                    </w:rPr>
                  </w:pPr>
                  <w:r>
                    <w:rPr>
                      <w:rFonts w:ascii="Open Sans Light" w:hAnsi="Open Sans Light" w:cs="Open Sans Light"/>
                      <w:sz w:val="22"/>
                      <w:szCs w:val="22"/>
                    </w:rPr>
                    <w:t>Very strong position, equity issue unlikely</w:t>
                  </w:r>
                </w:p>
              </w:tc>
            </w:tr>
          </w:tbl>
          <w:p w14:paraId="357F155C" w14:textId="236EDBD9" w:rsidR="00802AB8" w:rsidRDefault="007E22F9" w:rsidP="006F7109">
            <w:pPr>
              <w:spacing w:before="120" w:after="120"/>
              <w:jc w:val="both"/>
              <w:rPr>
                <w:rFonts w:ascii="Open Sans Light" w:hAnsi="Open Sans Light"/>
                <w:sz w:val="22"/>
              </w:rPr>
            </w:pPr>
            <w:r>
              <w:rPr>
                <w:rFonts w:ascii="Open Sans Light" w:hAnsi="Open Sans Light"/>
                <w:sz w:val="22"/>
              </w:rPr>
              <w:t xml:space="preserve">Key will be the pace of travel demand recovery. If we assume that 2019 volumes will be at 70% by Q4 2020 and not return until 2023 (i.e. the IAG forecast) then the likely trajectory is between 70%-100% over 2021 and 2022. In </w:t>
            </w:r>
            <w:r w:rsidR="00CF3F9D">
              <w:rPr>
                <w:rFonts w:ascii="Open Sans Light" w:hAnsi="Open Sans Light"/>
                <w:sz w:val="22"/>
              </w:rPr>
              <w:t>my</w:t>
            </w:r>
            <w:r>
              <w:rPr>
                <w:rFonts w:ascii="Open Sans Light" w:hAnsi="Open Sans Light"/>
                <w:sz w:val="22"/>
              </w:rPr>
              <w:t xml:space="preserve"> view this is built into current valuations.</w:t>
            </w:r>
          </w:p>
          <w:p w14:paraId="67F8C784" w14:textId="199A50C5" w:rsidR="00C553C7" w:rsidRDefault="007E22F9" w:rsidP="006F7109">
            <w:pPr>
              <w:spacing w:before="120" w:after="120"/>
              <w:jc w:val="both"/>
              <w:rPr>
                <w:rFonts w:ascii="Open Sans Light" w:hAnsi="Open Sans Light"/>
                <w:sz w:val="22"/>
              </w:rPr>
            </w:pPr>
            <w:r>
              <w:rPr>
                <w:rFonts w:ascii="Open Sans Light" w:hAnsi="Open Sans Light"/>
                <w:sz w:val="22"/>
              </w:rPr>
              <w:t xml:space="preserve">However key risks remain elevated, including a </w:t>
            </w:r>
            <w:proofErr w:type="gramStart"/>
            <w:r>
              <w:rPr>
                <w:rFonts w:ascii="Open Sans Light" w:hAnsi="Open Sans Light"/>
                <w:sz w:val="22"/>
              </w:rPr>
              <w:t>second-wave</w:t>
            </w:r>
            <w:proofErr w:type="gramEnd"/>
            <w:r>
              <w:rPr>
                <w:rFonts w:ascii="Open Sans Light" w:hAnsi="Open Sans Light"/>
                <w:sz w:val="22"/>
              </w:rPr>
              <w:t xml:space="preserve"> necessitating further lockdowns</w:t>
            </w:r>
            <w:r w:rsidR="006E7668">
              <w:rPr>
                <w:rFonts w:ascii="Open Sans Light" w:hAnsi="Open Sans Light"/>
                <w:sz w:val="22"/>
              </w:rPr>
              <w:t>, a lengthy UK/ EU recession</w:t>
            </w:r>
            <w:r>
              <w:rPr>
                <w:rFonts w:ascii="Open Sans Light" w:hAnsi="Open Sans Light"/>
                <w:sz w:val="22"/>
              </w:rPr>
              <w:t xml:space="preserve"> and the implications of social distancing on airports/ air travel.</w:t>
            </w:r>
            <w:r w:rsidR="00C553C7">
              <w:rPr>
                <w:rFonts w:ascii="Open Sans Light" w:hAnsi="Open Sans Light"/>
                <w:sz w:val="22"/>
              </w:rPr>
              <w:t xml:space="preserve"> </w:t>
            </w:r>
          </w:p>
          <w:p w14:paraId="2CED26BE" w14:textId="44DA097E" w:rsidR="00C553C7" w:rsidRDefault="00C553C7" w:rsidP="006F7109">
            <w:pPr>
              <w:spacing w:before="120" w:after="120"/>
              <w:jc w:val="both"/>
              <w:rPr>
                <w:rFonts w:ascii="Open Sans Light" w:hAnsi="Open Sans Light"/>
                <w:sz w:val="22"/>
              </w:rPr>
            </w:pPr>
            <w:r>
              <w:rPr>
                <w:rFonts w:ascii="Open Sans Light" w:hAnsi="Open Sans Light"/>
                <w:sz w:val="22"/>
              </w:rPr>
              <w:t xml:space="preserve">Whilst </w:t>
            </w:r>
            <w:r w:rsidR="006E7668">
              <w:rPr>
                <w:rFonts w:ascii="Open Sans Light" w:hAnsi="Open Sans Light"/>
                <w:sz w:val="22"/>
              </w:rPr>
              <w:t>I</w:t>
            </w:r>
            <w:r>
              <w:rPr>
                <w:rFonts w:ascii="Open Sans Light" w:hAnsi="Open Sans Light"/>
                <w:sz w:val="22"/>
              </w:rPr>
              <w:t xml:space="preserve"> feel more comfortable with Dart, Ryanair and Wizz, there is</w:t>
            </w:r>
            <w:r w:rsidR="006E7668">
              <w:rPr>
                <w:rFonts w:ascii="Open Sans Light" w:hAnsi="Open Sans Light"/>
                <w:sz w:val="22"/>
              </w:rPr>
              <w:t>,</w:t>
            </w:r>
            <w:r>
              <w:rPr>
                <w:rFonts w:ascii="Open Sans Light" w:hAnsi="Open Sans Light"/>
                <w:sz w:val="22"/>
              </w:rPr>
              <w:t xml:space="preserve"> </w:t>
            </w:r>
            <w:proofErr w:type="gramStart"/>
            <w:r>
              <w:rPr>
                <w:rFonts w:ascii="Open Sans Light" w:hAnsi="Open Sans Light"/>
                <w:sz w:val="22"/>
              </w:rPr>
              <w:t>in reality</w:t>
            </w:r>
            <w:r w:rsidR="00CF3F9D">
              <w:rPr>
                <w:rFonts w:ascii="Open Sans Light" w:hAnsi="Open Sans Light"/>
                <w:sz w:val="22"/>
              </w:rPr>
              <w:t xml:space="preserve"> </w:t>
            </w:r>
            <w:r>
              <w:rPr>
                <w:rFonts w:ascii="Open Sans Light" w:hAnsi="Open Sans Light"/>
                <w:sz w:val="22"/>
              </w:rPr>
              <w:t>little</w:t>
            </w:r>
            <w:proofErr w:type="gramEnd"/>
            <w:r>
              <w:rPr>
                <w:rFonts w:ascii="Open Sans Light" w:hAnsi="Open Sans Light"/>
                <w:sz w:val="22"/>
              </w:rPr>
              <w:t xml:space="preserve"> differentiation with all players </w:t>
            </w:r>
            <w:r w:rsidR="006E7668">
              <w:rPr>
                <w:rFonts w:ascii="Open Sans Light" w:hAnsi="Open Sans Light"/>
                <w:sz w:val="22"/>
              </w:rPr>
              <w:t>either</w:t>
            </w:r>
            <w:r>
              <w:rPr>
                <w:rFonts w:ascii="Open Sans Light" w:hAnsi="Open Sans Light"/>
                <w:sz w:val="22"/>
              </w:rPr>
              <w:t xml:space="preserve"> totally exposed </w:t>
            </w:r>
            <w:r w:rsidR="006E7668">
              <w:rPr>
                <w:rFonts w:ascii="Open Sans Light" w:hAnsi="Open Sans Light"/>
                <w:sz w:val="22"/>
              </w:rPr>
              <w:t xml:space="preserve">or heavily exposed </w:t>
            </w:r>
            <w:r>
              <w:rPr>
                <w:rFonts w:ascii="Open Sans Light" w:hAnsi="Open Sans Light"/>
                <w:sz w:val="22"/>
              </w:rPr>
              <w:t xml:space="preserve">to EU short haul. I want more evidence of demand recovery as I expect demand recovery will lag </w:t>
            </w:r>
            <w:r w:rsidR="00CF3F9D">
              <w:rPr>
                <w:rFonts w:ascii="Open Sans Light" w:hAnsi="Open Sans Light"/>
                <w:sz w:val="22"/>
              </w:rPr>
              <w:t xml:space="preserve">expectations </w:t>
            </w:r>
            <w:r>
              <w:rPr>
                <w:rFonts w:ascii="Open Sans Light" w:hAnsi="Open Sans Light"/>
                <w:sz w:val="22"/>
              </w:rPr>
              <w:t>certainly over the key July/ August period.</w:t>
            </w:r>
          </w:p>
          <w:p w14:paraId="3ADF568B" w14:textId="18CD174A" w:rsidR="0000403F" w:rsidRDefault="0000403F" w:rsidP="00327A74">
            <w:pPr>
              <w:spacing w:before="120" w:after="120"/>
              <w:jc w:val="both"/>
              <w:rPr>
                <w:rFonts w:ascii="Open Sans Light" w:hAnsi="Open Sans Light"/>
                <w:sz w:val="22"/>
              </w:rPr>
            </w:pPr>
            <w:r>
              <w:rPr>
                <w:rFonts w:ascii="Open Sans Light" w:hAnsi="Open Sans Light"/>
                <w:sz w:val="22"/>
              </w:rPr>
              <w:t>God Bless You and Stay Safe and Healthy!</w:t>
            </w:r>
          </w:p>
          <w:p w14:paraId="26D19BDA" w14:textId="77777777" w:rsidR="00705D46" w:rsidRDefault="00705D46" w:rsidP="004D7975">
            <w:pPr>
              <w:pStyle w:val="ListParagraph"/>
              <w:spacing w:before="120" w:after="120"/>
              <w:jc w:val="both"/>
              <w:rPr>
                <w:rFonts w:ascii="Open Sans Light" w:hAnsi="Open Sans Light"/>
                <w:sz w:val="22"/>
              </w:rPr>
            </w:pPr>
          </w:p>
          <w:p w14:paraId="66E6243E" w14:textId="1CCAB013" w:rsidR="00A25C78" w:rsidRPr="0023074E" w:rsidRDefault="00A25C78" w:rsidP="004D7975">
            <w:pPr>
              <w:pStyle w:val="ListParagraph"/>
              <w:spacing w:before="120" w:after="120"/>
              <w:jc w:val="both"/>
              <w:rPr>
                <w:rFonts w:ascii="Open Sans Light" w:hAnsi="Open Sans Light"/>
                <w:sz w:val="22"/>
              </w:rPr>
            </w:pPr>
          </w:p>
        </w:tc>
      </w:tr>
      <w:tr w:rsidR="001B10A5" w:rsidRPr="001B10A5" w14:paraId="1F93BB74" w14:textId="77777777" w:rsidTr="004D2579">
        <w:tblPrEx>
          <w:jc w:val="center"/>
          <w:tblInd w:w="0" w:type="dxa"/>
          <w:tblCellMar>
            <w:left w:w="108" w:type="dxa"/>
            <w:right w:w="108" w:type="dxa"/>
          </w:tblCellMar>
        </w:tblPrEx>
        <w:trPr>
          <w:jc w:val="center"/>
        </w:trPr>
        <w:tc>
          <w:tcPr>
            <w:tcW w:w="10740" w:type="dxa"/>
            <w:gridSpan w:val="4"/>
            <w:shd w:val="clear" w:color="auto" w:fill="005E2A"/>
          </w:tcPr>
          <w:p w14:paraId="0A7758BB" w14:textId="643EDC38" w:rsidR="001B10A5" w:rsidRPr="00A00010" w:rsidRDefault="0014734B" w:rsidP="005C28B1">
            <w:pPr>
              <w:spacing w:before="120" w:after="120"/>
              <w:jc w:val="center"/>
              <w:rPr>
                <w:rFonts w:ascii="Open Sans Light" w:hAnsi="Open Sans Light"/>
                <w:color w:val="404040" w:themeColor="text1" w:themeTint="BF"/>
              </w:rPr>
            </w:pPr>
            <w:r w:rsidRPr="0014734B">
              <w:rPr>
                <w:rFonts w:ascii="Open Sans Light" w:hAnsi="Open Sans Light"/>
                <w:color w:val="FFFFFF" w:themeColor="background1"/>
              </w:rPr>
              <w:lastRenderedPageBreak/>
              <w:t xml:space="preserve">Collins </w:t>
            </w:r>
            <w:r w:rsidR="005C28B1">
              <w:rPr>
                <w:rFonts w:ascii="Open Sans Light" w:hAnsi="Open Sans Light"/>
                <w:color w:val="FFFFFF" w:themeColor="background1"/>
              </w:rPr>
              <w:t xml:space="preserve">Sarri Statham Investments Ltd </w:t>
            </w:r>
          </w:p>
        </w:tc>
      </w:tr>
      <w:tr w:rsidR="001B10A5" w:rsidRPr="001B10A5" w14:paraId="061A2B55" w14:textId="77777777" w:rsidTr="004D2579">
        <w:tblPrEx>
          <w:jc w:val="center"/>
          <w:tblInd w:w="0" w:type="dxa"/>
          <w:tblCellMar>
            <w:left w:w="108" w:type="dxa"/>
            <w:right w:w="108" w:type="dxa"/>
          </w:tblCellMar>
        </w:tblPrEx>
        <w:trPr>
          <w:trHeight w:val="3294"/>
          <w:jc w:val="center"/>
        </w:trPr>
        <w:tc>
          <w:tcPr>
            <w:tcW w:w="10740" w:type="dxa"/>
            <w:gridSpan w:val="4"/>
          </w:tcPr>
          <w:tbl>
            <w:tblPr>
              <w:tblStyle w:val="TableGrid"/>
              <w:tblW w:w="10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6"/>
            </w:tblGrid>
            <w:tr w:rsidR="005C28B1" w14:paraId="41F9FA11" w14:textId="77777777" w:rsidTr="004D2579">
              <w:trPr>
                <w:trHeight w:val="1516"/>
                <w:jc w:val="center"/>
              </w:trPr>
              <w:tc>
                <w:tcPr>
                  <w:tcW w:w="10666" w:type="dxa"/>
                </w:tcPr>
                <w:p w14:paraId="39C3E8DB" w14:textId="77777777" w:rsidR="00F07F16" w:rsidRPr="0014734B" w:rsidRDefault="00F07F16" w:rsidP="00F07F16">
                  <w:pPr>
                    <w:spacing w:before="120"/>
                    <w:rPr>
                      <w:rFonts w:ascii="Open Sans" w:hAnsi="Open Sans"/>
                      <w:b/>
                      <w:color w:val="005D2A"/>
                      <w:sz w:val="19"/>
                      <w:szCs w:val="19"/>
                    </w:rPr>
                  </w:pPr>
                  <w:r w:rsidRPr="0014734B">
                    <w:rPr>
                      <w:rFonts w:ascii="Open Sans" w:hAnsi="Open Sans"/>
                      <w:b/>
                      <w:color w:val="005D2A"/>
                      <w:sz w:val="19"/>
                      <w:szCs w:val="19"/>
                    </w:rPr>
                    <w:t>Key to Material Interests:</w:t>
                  </w:r>
                </w:p>
                <w:p w14:paraId="2BC8ECCE" w14:textId="77777777" w:rsidR="00F07F16" w:rsidRPr="0014734B" w:rsidRDefault="00F07F16" w:rsidP="00F07F16">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Please be aware tha</w:t>
                  </w:r>
                  <w:r>
                    <w:rPr>
                      <w:rFonts w:ascii="Open Sans" w:hAnsi="Open Sans"/>
                      <w:color w:val="404040" w:themeColor="text1" w:themeTint="BF"/>
                      <w:sz w:val="19"/>
                      <w:szCs w:val="19"/>
                    </w:rPr>
                    <w:t xml:space="preserve">t the following disclosures of </w:t>
                  </w:r>
                  <w:r w:rsidRPr="0014734B">
                    <w:rPr>
                      <w:rFonts w:ascii="Open Sans" w:hAnsi="Open Sans"/>
                      <w:color w:val="404040" w:themeColor="text1" w:themeTint="BF"/>
                      <w:sz w:val="19"/>
                      <w:szCs w:val="19"/>
                    </w:rPr>
                    <w:t>Material Interests are relevant to this research note:</w:t>
                  </w:r>
                </w:p>
                <w:p w14:paraId="56316D1B" w14:textId="13D83E20" w:rsidR="00F07F16" w:rsidRDefault="00F07F16" w:rsidP="00F07F16">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Dart Group</w:t>
                  </w:r>
                  <w:r>
                    <w:rPr>
                      <w:rFonts w:ascii="Open Sans" w:hAnsi="Open Sans"/>
                      <w:b/>
                      <w:color w:val="404040" w:themeColor="text1" w:themeTint="BF"/>
                      <w:sz w:val="19"/>
                      <w:szCs w:val="19"/>
                    </w:rPr>
                    <w:tab/>
                  </w:r>
                  <w:r>
                    <w:rPr>
                      <w:rFonts w:ascii="Open Sans" w:hAnsi="Open Sans"/>
                      <w:b/>
                      <w:color w:val="404040" w:themeColor="text1" w:themeTint="BF"/>
                      <w:sz w:val="19"/>
                      <w:szCs w:val="19"/>
                    </w:rPr>
                    <w:tab/>
                    <w:t xml:space="preserve">                  </w:t>
                  </w:r>
                  <w:r>
                    <w:rPr>
                      <w:rFonts w:ascii="Open Sans" w:hAnsi="Open Sans"/>
                      <w:b/>
                      <w:color w:val="404040" w:themeColor="text1" w:themeTint="BF"/>
                      <w:sz w:val="19"/>
                      <w:szCs w:val="19"/>
                    </w:rPr>
                    <w:tab/>
                    <w:t>Relevant disclosures:   &lt;2</w:t>
                  </w:r>
                  <w:r w:rsidRPr="0014734B">
                    <w:rPr>
                      <w:rFonts w:ascii="Open Sans" w:hAnsi="Open Sans"/>
                      <w:b/>
                      <w:color w:val="404040" w:themeColor="text1" w:themeTint="BF"/>
                      <w:sz w:val="19"/>
                      <w:szCs w:val="19"/>
                    </w:rPr>
                    <w:t>&gt;</w:t>
                  </w:r>
                </w:p>
                <w:p w14:paraId="2546C7B6" w14:textId="3BDC6E6B" w:rsidR="00F07F16" w:rsidRDefault="00F07F16" w:rsidP="00F07F16">
                  <w:pPr>
                    <w:spacing w:before="120"/>
                    <w:rPr>
                      <w:rFonts w:ascii="Open Sans" w:hAnsi="Open Sans"/>
                      <w:b/>
                      <w:color w:val="404040" w:themeColor="text1" w:themeTint="BF"/>
                      <w:sz w:val="19"/>
                      <w:szCs w:val="19"/>
                    </w:rPr>
                  </w:pPr>
                  <w:proofErr w:type="spellStart"/>
                  <w:r>
                    <w:rPr>
                      <w:rFonts w:ascii="Open Sans" w:hAnsi="Open Sans"/>
                      <w:b/>
                      <w:color w:val="404040" w:themeColor="text1" w:themeTint="BF"/>
                      <w:sz w:val="19"/>
                      <w:szCs w:val="19"/>
                    </w:rPr>
                    <w:t>Easyjet</w:t>
                  </w:r>
                  <w:proofErr w:type="spellEnd"/>
                  <w:r>
                    <w:rPr>
                      <w:rFonts w:ascii="Open Sans" w:hAnsi="Open Sans"/>
                      <w:b/>
                      <w:color w:val="404040" w:themeColor="text1" w:themeTint="BF"/>
                      <w:sz w:val="19"/>
                      <w:szCs w:val="19"/>
                    </w:rPr>
                    <w:t xml:space="preserve">                                                               Relevant disclosures:  &lt;2&gt;</w:t>
                  </w:r>
                </w:p>
                <w:p w14:paraId="6BD64AEF" w14:textId="61853B48" w:rsidR="00F07F16" w:rsidRDefault="00F07F16" w:rsidP="00F07F16">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IAG                                                                    Relevant disclosures:  &lt;1,2&gt;</w:t>
                  </w:r>
                </w:p>
                <w:p w14:paraId="36585A11" w14:textId="141E9153" w:rsidR="00F07F16" w:rsidRDefault="00F07F16" w:rsidP="00F07F16">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Ryanair                                                             Relevant disclosures:  &lt;2&gt;</w:t>
                  </w:r>
                </w:p>
                <w:p w14:paraId="0A20CE56" w14:textId="6CC27D30" w:rsidR="00F07F16" w:rsidRDefault="00F07F16" w:rsidP="00F07F16">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TUI                                                                    Relevant disclosures: &lt;2&gt;</w:t>
                  </w:r>
                </w:p>
                <w:p w14:paraId="79E6928A" w14:textId="631A1330" w:rsidR="00F07F16" w:rsidRDefault="00F07F16" w:rsidP="00F07F16">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Wizz Air                                                            Relevant disclosures: &lt;2&gt;</w:t>
                  </w:r>
                </w:p>
                <w:p w14:paraId="72181ABF" w14:textId="77777777" w:rsidR="00F07F16" w:rsidRPr="0014734B" w:rsidRDefault="00F07F16" w:rsidP="00F07F16">
                  <w:pPr>
                    <w:spacing w:before="120"/>
                    <w:rPr>
                      <w:rFonts w:ascii="Open Sans" w:hAnsi="Open Sans"/>
                      <w:b/>
                      <w:color w:val="404040" w:themeColor="text1" w:themeTint="BF"/>
                      <w:sz w:val="19"/>
                      <w:szCs w:val="19"/>
                    </w:rPr>
                  </w:pPr>
                </w:p>
                <w:p w14:paraId="21C70680" w14:textId="77777777" w:rsidR="00F07F16" w:rsidRPr="0014734B" w:rsidRDefault="00F07F16" w:rsidP="00F07F16">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1. The analyst has a personal holding in the securities issued by the company or of derivatives linked to the price of the company’s securities.</w:t>
                  </w:r>
                </w:p>
                <w:p w14:paraId="6B5132BD" w14:textId="77777777" w:rsidR="00F07F16" w:rsidRDefault="00F07F16" w:rsidP="00F07F16">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2. Collins Sarri Statham Investments Ltd has clients who hold either shares or CFD positions in this security.</w:t>
                  </w:r>
                </w:p>
                <w:p w14:paraId="3F531409" w14:textId="77777777" w:rsidR="00F023DD" w:rsidRPr="0014734B" w:rsidRDefault="00F023DD" w:rsidP="00F023DD">
                  <w:pPr>
                    <w:spacing w:before="120"/>
                    <w:rPr>
                      <w:rFonts w:ascii="Open Sans" w:hAnsi="Open Sans"/>
                      <w:b/>
                      <w:bCs/>
                      <w:color w:val="005D2A"/>
                      <w:sz w:val="19"/>
                      <w:szCs w:val="19"/>
                    </w:rPr>
                  </w:pPr>
                  <w:r w:rsidRPr="0014734B">
                    <w:rPr>
                      <w:rFonts w:ascii="Open Sans" w:hAnsi="Open Sans"/>
                      <w:b/>
                      <w:bCs/>
                      <w:color w:val="005D2A"/>
                      <w:sz w:val="19"/>
                      <w:szCs w:val="19"/>
                    </w:rPr>
                    <w:t xml:space="preserve">ANALYST CERTIFICATION: </w:t>
                  </w:r>
                </w:p>
                <w:p w14:paraId="71346EA4" w14:textId="77777777" w:rsidR="00F023DD" w:rsidRPr="004C26FA" w:rsidRDefault="00F023DD" w:rsidP="00F023DD">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The report’s author certifies that this research report accurately states his personal views about the subject securities, which is reflected in the ratings as well as</w:t>
                  </w:r>
                  <w:r>
                    <w:rPr>
                      <w:rFonts w:ascii="Open Sans" w:hAnsi="Open Sans"/>
                      <w:color w:val="404040" w:themeColor="text1" w:themeTint="BF"/>
                      <w:sz w:val="19"/>
                      <w:szCs w:val="19"/>
                    </w:rPr>
                    <w:t xml:space="preserve"> the substance of the reports. </w:t>
                  </w:r>
                </w:p>
                <w:p w14:paraId="03856D76" w14:textId="77777777" w:rsidR="00F023DD" w:rsidRPr="0014734B" w:rsidRDefault="00F023DD" w:rsidP="00F023DD">
                  <w:pPr>
                    <w:spacing w:before="120"/>
                    <w:jc w:val="both"/>
                    <w:rPr>
                      <w:rFonts w:ascii="Open Sans" w:hAnsi="Open Sans"/>
                      <w:b/>
                      <w:bCs/>
                      <w:color w:val="005D2A"/>
                      <w:sz w:val="19"/>
                      <w:szCs w:val="19"/>
                    </w:rPr>
                  </w:pPr>
                  <w:r w:rsidRPr="0014734B">
                    <w:rPr>
                      <w:rFonts w:ascii="Open Sans" w:hAnsi="Open Sans"/>
                      <w:b/>
                      <w:bCs/>
                      <w:color w:val="005D2A"/>
                      <w:sz w:val="19"/>
                      <w:szCs w:val="19"/>
                    </w:rPr>
                    <w:t>RECOMMENDATIONS: </w:t>
                  </w:r>
                </w:p>
                <w:p w14:paraId="30C5004A"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 xml:space="preserve">Collins Sarri Statham Investments Ltd (CSS) does not in any of its publications </w:t>
                  </w:r>
                  <w:proofErr w:type="gramStart"/>
                  <w:r w:rsidRPr="0014734B">
                    <w:rPr>
                      <w:rFonts w:ascii="Open Sans" w:hAnsi="Open Sans"/>
                      <w:color w:val="404040" w:themeColor="text1" w:themeTint="BF"/>
                      <w:sz w:val="19"/>
                      <w:szCs w:val="19"/>
                    </w:rPr>
                    <w:t>take into account</w:t>
                  </w:r>
                  <w:proofErr w:type="gramEnd"/>
                  <w:r w:rsidRPr="0014734B">
                    <w:rPr>
                      <w:rFonts w:ascii="Open Sans" w:hAnsi="Open Sans"/>
                      <w:color w:val="404040" w:themeColor="text1" w:themeTint="BF"/>
                      <w:sz w:val="19"/>
                      <w:szCs w:val="19"/>
                    </w:rPr>
                    <w:t xml:space="preserve"> any particular recipient's investment objectives, financial situation, and specific needs and demands. Therefore, all CSS publications are, unless otherwise specifically stated, intended for informational and/or marketing purposes only.CSS shall not be responsible for any loss arising from any investment based on a perceived recommendation.</w:t>
                  </w:r>
                </w:p>
                <w:p w14:paraId="10A8E81C"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No publication (including recommendations) shall be construed as a representation or warranty that the recipient will profit, nor avoid sustaining losses, from trading in accordance with a trading strat</w:t>
                  </w:r>
                  <w:r>
                    <w:rPr>
                      <w:rFonts w:ascii="Open Sans" w:hAnsi="Open Sans"/>
                      <w:color w:val="404040" w:themeColor="text1" w:themeTint="BF"/>
                      <w:sz w:val="19"/>
                      <w:szCs w:val="19"/>
                    </w:rPr>
                    <w:t>egy set forth in a publication.</w:t>
                  </w:r>
                </w:p>
                <w:p w14:paraId="3ADD29C1" w14:textId="77777777" w:rsidR="00F023DD"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This research is non-independent and is classified as a Marketing Communication under FCA rules detailed in their Conduct of Business Rulebook (COBS). As such it has not been prepared in accordance with legal requirements designed to promote independence of investment research and it is not subject to the prohibition of dealing ahead of the dissemination of investment research outlined in COBS 12.2.</w:t>
                  </w:r>
                  <w:r>
                    <w:rPr>
                      <w:rFonts w:ascii="Open Sans" w:hAnsi="Open Sans"/>
                      <w:color w:val="404040" w:themeColor="text1" w:themeTint="BF"/>
                      <w:sz w:val="19"/>
                      <w:szCs w:val="19"/>
                    </w:rPr>
                    <w:t>18</w:t>
                  </w:r>
                  <w:r w:rsidRPr="0014734B">
                    <w:rPr>
                      <w:rFonts w:ascii="Open Sans" w:hAnsi="Open Sans"/>
                      <w:color w:val="404040" w:themeColor="text1" w:themeTint="BF"/>
                      <w:sz w:val="19"/>
                      <w:szCs w:val="19"/>
                    </w:rPr>
                    <w:t>.</w:t>
                  </w:r>
                </w:p>
                <w:p w14:paraId="519791B3"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RISK WARNING:</w:t>
                  </w:r>
                </w:p>
                <w:p w14:paraId="3EBD6FE5" w14:textId="77777777" w:rsidR="00F023DD" w:rsidRPr="00292696" w:rsidRDefault="00F023DD" w:rsidP="00F023DD">
                  <w:pPr>
                    <w:spacing w:before="120"/>
                    <w:jc w:val="both"/>
                    <w:rPr>
                      <w:rFonts w:ascii="Open Sans" w:hAnsi="Open Sans"/>
                      <w:color w:val="343434"/>
                      <w:sz w:val="19"/>
                      <w:szCs w:val="19"/>
                    </w:rPr>
                  </w:pPr>
                  <w:r w:rsidRPr="0014734B">
                    <w:rPr>
                      <w:rFonts w:ascii="Open Sans" w:hAnsi="Open Sans"/>
                      <w:color w:val="404040" w:themeColor="text1" w:themeTint="BF"/>
                      <w:sz w:val="19"/>
                      <w:szCs w:val="19"/>
                    </w:rPr>
                    <w:t>Trading in the products and services offered by Collins Sarri Statham Investments Ltd (CSS) may, result in losses as well as profits as the value of investments may go down as well as up. You may not get back the full amount you have invested. Any reference to past performance should not be viewed as an indication of any future performance. Investments held in overseas markets are subject to the effects of changes in exchange rates which will impact on the value of the underlying investment</w:t>
                  </w:r>
                  <w:r>
                    <w:rPr>
                      <w:rFonts w:ascii="Open Sans" w:hAnsi="Open Sans"/>
                      <w:color w:val="404040" w:themeColor="text1" w:themeTint="BF"/>
                      <w:sz w:val="19"/>
                      <w:szCs w:val="19"/>
                    </w:rPr>
                    <w:t xml:space="preserve">. </w:t>
                  </w:r>
                  <w:r w:rsidRPr="00292696">
                    <w:rPr>
                      <w:rFonts w:ascii="Open Sans" w:hAnsi="Open Sans"/>
                      <w:color w:val="343434"/>
                      <w:sz w:val="19"/>
                      <w:szCs w:val="19"/>
                    </w:rPr>
                    <w:t>Leveraged products such as Contracts for Difference (CFDs), derivatives, commodities &amp; Foreign Exchange (FX), carry a higher risk to your capital and they can lose their value rapidly</w:t>
                  </w:r>
                  <w:r>
                    <w:rPr>
                      <w:rFonts w:ascii="Open Sans" w:hAnsi="Open Sans"/>
                      <w:color w:val="343434"/>
                      <w:sz w:val="19"/>
                      <w:szCs w:val="19"/>
                    </w:rPr>
                    <w:t>.</w:t>
                  </w:r>
                </w:p>
                <w:p w14:paraId="047A854D"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 xml:space="preserve">SPECULATIVE TRADING IS NOT SUITABLE FOR ALL INVESTORS. </w:t>
                  </w:r>
                </w:p>
                <w:p w14:paraId="6B589E08" w14:textId="77777777" w:rsidR="00F023DD" w:rsidRDefault="00F023DD" w:rsidP="00F023DD">
                  <w:r w:rsidRPr="0014734B">
                    <w:rPr>
                      <w:rFonts w:ascii="Open Sans" w:hAnsi="Open Sans"/>
                      <w:color w:val="404040" w:themeColor="text1" w:themeTint="BF"/>
                      <w:sz w:val="19"/>
                      <w:szCs w:val="19"/>
                    </w:rPr>
                    <w:t>The information contained herein is based on materials and sources that we believe to be reliable however we make no representation or warranty, either express or implied, in relation to the accuracy, completeness or reliability of the information contained herein. Please note that the figures shown may, in some instances, be rounded to the nearest penny. Prices can move sharply from those quoted in this document. Current prices can be verified by calling one of our brokers. CSS is under no obligation to update the information contained herein. Neither CSS, nor its affiliates, nor its employees shall have any liability whatsoever for any indirect or consequential loss or damage arising from the use of this document.</w:t>
                  </w:r>
                </w:p>
                <w:p w14:paraId="427C9F59" w14:textId="1D23FFAD" w:rsidR="00F023DD" w:rsidRDefault="00F023DD" w:rsidP="005C28B1">
                  <w:pPr>
                    <w:spacing w:before="120"/>
                    <w:jc w:val="both"/>
                    <w:rPr>
                      <w:rFonts w:ascii="Open Sans" w:hAnsi="Open Sans"/>
                      <w:color w:val="404040" w:themeColor="text1" w:themeTint="BF"/>
                      <w:sz w:val="19"/>
                      <w:szCs w:val="19"/>
                    </w:rPr>
                  </w:pPr>
                  <w:bookmarkStart w:id="0" w:name="_GoBack"/>
                  <w:bookmarkEnd w:id="0"/>
                </w:p>
              </w:tc>
            </w:tr>
            <w:tr w:rsidR="005C28B1" w14:paraId="16BE045D" w14:textId="77777777" w:rsidTr="004D2579">
              <w:trPr>
                <w:trHeight w:val="1516"/>
                <w:jc w:val="center"/>
              </w:trPr>
              <w:tc>
                <w:tcPr>
                  <w:tcW w:w="10666" w:type="dxa"/>
                </w:tcPr>
                <w:p w14:paraId="2DFB24C2" w14:textId="77777777" w:rsidR="005C28B1" w:rsidRDefault="005C28B1">
                  <w:pPr>
                    <w:spacing w:before="120"/>
                    <w:jc w:val="both"/>
                    <w:rPr>
                      <w:rFonts w:ascii="Open Sans" w:hAnsi="Open Sans"/>
                      <w:b/>
                      <w:color w:val="005D2A"/>
                      <w:sz w:val="19"/>
                      <w:szCs w:val="19"/>
                    </w:rPr>
                  </w:pPr>
                </w:p>
              </w:tc>
            </w:tr>
          </w:tbl>
          <w:p w14:paraId="3626B5D3" w14:textId="2665E3F9" w:rsidR="0014734B" w:rsidRPr="0014734B" w:rsidRDefault="0014734B" w:rsidP="00882411">
            <w:pPr>
              <w:spacing w:before="120"/>
              <w:jc w:val="both"/>
              <w:rPr>
                <w:rFonts w:ascii="Open Sans" w:hAnsi="Open Sans"/>
                <w:color w:val="404040" w:themeColor="text1" w:themeTint="BF"/>
                <w:sz w:val="19"/>
                <w:szCs w:val="19"/>
              </w:rPr>
            </w:pPr>
          </w:p>
        </w:tc>
      </w:tr>
    </w:tbl>
    <w:p w14:paraId="34FD20E4" w14:textId="77777777" w:rsidR="001B10A5" w:rsidRDefault="001B10A5" w:rsidP="0014734B"/>
    <w:sectPr w:rsidR="001B10A5" w:rsidSect="008465E7">
      <w:footerReference w:type="default" r:id="rId11"/>
      <w:pgSz w:w="11900" w:h="16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7B44" w14:textId="77777777" w:rsidR="00E46DBB" w:rsidRDefault="00E46DBB" w:rsidP="00562901">
      <w:r>
        <w:separator/>
      </w:r>
    </w:p>
  </w:endnote>
  <w:endnote w:type="continuationSeparator" w:id="0">
    <w:p w14:paraId="34CEA447" w14:textId="77777777" w:rsidR="00E46DBB" w:rsidRDefault="00E46DBB" w:rsidP="005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auto"/>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97E4" w14:textId="6E013594" w:rsidR="00E46DBB" w:rsidRPr="00123BB8" w:rsidRDefault="00E46DBB" w:rsidP="00FD7BFE">
    <w:pPr>
      <w:pStyle w:val="Footer"/>
      <w:spacing w:line="276" w:lineRule="auto"/>
      <w:jc w:val="center"/>
      <w:rPr>
        <w:rFonts w:ascii="Open Sans Semibold" w:hAnsi="Open Sans Semibold"/>
        <w:b/>
        <w:bCs/>
        <w:color w:val="005E2A"/>
        <w:sz w:val="18"/>
      </w:rPr>
    </w:pPr>
    <w:r w:rsidRPr="00123BB8">
      <w:rPr>
        <w:rFonts w:ascii="Open Sans Semibold" w:hAnsi="Open Sans Semibold"/>
        <w:b/>
        <w:bCs/>
        <w:color w:val="005E2A"/>
        <w:sz w:val="18"/>
      </w:rPr>
      <w:t>Collins</w:t>
    </w:r>
    <w:r>
      <w:rPr>
        <w:rFonts w:ascii="Open Sans Semibold" w:hAnsi="Open Sans Semibold"/>
        <w:b/>
        <w:bCs/>
        <w:color w:val="005E2A"/>
        <w:sz w:val="18"/>
      </w:rPr>
      <w:t xml:space="preserve"> Sarri Statham Investments Ltd.</w:t>
    </w:r>
    <w:r w:rsidRPr="00123BB8">
      <w:rPr>
        <w:rFonts w:ascii="Open Sans Semibold" w:hAnsi="Open Sans Semibold"/>
        <w:b/>
        <w:bCs/>
        <w:color w:val="005E2A"/>
        <w:sz w:val="18"/>
      </w:rPr>
      <w:t xml:space="preserve"> </w:t>
    </w:r>
    <w:r>
      <w:rPr>
        <w:rFonts w:ascii="Open Sans Semibold" w:hAnsi="Open Sans Semibold"/>
        <w:b/>
        <w:bCs/>
        <w:color w:val="005E2A"/>
        <w:sz w:val="18"/>
      </w:rPr>
      <w:t>138 Fortis Green Road, Muswell Hill, London N10 3DU</w:t>
    </w:r>
  </w:p>
  <w:p w14:paraId="24640416" w14:textId="295A3FB2" w:rsidR="00E46DBB" w:rsidRPr="00123BB8" w:rsidRDefault="00E46DBB" w:rsidP="00FD7BFE">
    <w:pPr>
      <w:pStyle w:val="Footer"/>
      <w:spacing w:line="276" w:lineRule="auto"/>
      <w:jc w:val="center"/>
      <w:rPr>
        <w:rFonts w:ascii="Open Sans Light" w:hAnsi="Open Sans Light"/>
        <w:sz w:val="18"/>
      </w:rPr>
    </w:pPr>
    <w:r w:rsidRPr="00123BB8">
      <w:rPr>
        <w:rFonts w:ascii="Open Sans Semibold" w:hAnsi="Open Sans Semibold"/>
        <w:b/>
        <w:bCs/>
        <w:sz w:val="18"/>
      </w:rPr>
      <w:t>T</w:t>
    </w:r>
    <w:r>
      <w:rPr>
        <w:rFonts w:ascii="Open Sans Light" w:hAnsi="Open Sans Light"/>
        <w:sz w:val="18"/>
      </w:rPr>
      <w:t xml:space="preserve"> +44 (0)20 8 057 6380 </w:t>
    </w:r>
    <w:r w:rsidRPr="00123BB8">
      <w:rPr>
        <w:rFonts w:ascii="Open Sans Light" w:hAnsi="Open Sans Light"/>
        <w:sz w:val="18"/>
      </w:rPr>
      <w:t xml:space="preserve">  </w:t>
    </w:r>
    <w:r w:rsidRPr="00123BB8">
      <w:rPr>
        <w:rFonts w:ascii="Open Sans Semibold" w:hAnsi="Open Sans Semibold"/>
        <w:b/>
        <w:bCs/>
        <w:sz w:val="18"/>
      </w:rPr>
      <w:t>W</w:t>
    </w:r>
    <w:r w:rsidRPr="00123BB8">
      <w:rPr>
        <w:rFonts w:ascii="Open Sans Light" w:hAnsi="Open Sans Light"/>
        <w:sz w:val="18"/>
      </w:rPr>
      <w:t xml:space="preserve"> </w:t>
    </w:r>
    <w:proofErr w:type="gramStart"/>
    <w:r w:rsidRPr="00123BB8">
      <w:rPr>
        <w:rFonts w:ascii="Open Sans Light" w:hAnsi="Open Sans Light"/>
        <w:sz w:val="18"/>
      </w:rPr>
      <w:t xml:space="preserve">www.css-investments.com  </w:t>
    </w:r>
    <w:r w:rsidRPr="00123BB8">
      <w:rPr>
        <w:rFonts w:ascii="Open Sans Semibold" w:hAnsi="Open Sans Semibold"/>
        <w:b/>
        <w:bCs/>
        <w:sz w:val="18"/>
      </w:rPr>
      <w:t>E</w:t>
    </w:r>
    <w:proofErr w:type="gramEnd"/>
    <w:r w:rsidRPr="00123BB8">
      <w:rPr>
        <w:rFonts w:ascii="Open Sans Light" w:hAnsi="Open Sans Light"/>
        <w:sz w:val="18"/>
      </w:rPr>
      <w:t xml:space="preserve"> info@css-investments.com</w:t>
    </w:r>
  </w:p>
  <w:p w14:paraId="3E4E0E4A" w14:textId="63FB27B7" w:rsidR="00E46DBB" w:rsidRPr="00123BB8" w:rsidRDefault="00E46DBB" w:rsidP="00FD7BFE">
    <w:pPr>
      <w:pStyle w:val="Footer"/>
      <w:spacing w:line="276" w:lineRule="auto"/>
      <w:jc w:val="center"/>
      <w:rPr>
        <w:rFonts w:ascii="Open Sans Light" w:hAnsi="Open Sans Light"/>
        <w:sz w:val="18"/>
      </w:rPr>
    </w:pPr>
    <w:r w:rsidRPr="00123BB8">
      <w:rPr>
        <w:rFonts w:ascii="Open Sans Light" w:hAnsi="Open Sans Light"/>
        <w:sz w:val="18"/>
      </w:rPr>
      <w:t xml:space="preserve">Collins </w:t>
    </w:r>
    <w:r>
      <w:rPr>
        <w:rFonts w:ascii="Open Sans Light" w:hAnsi="Open Sans Light"/>
        <w:sz w:val="18"/>
      </w:rPr>
      <w:t>Sarri Statham Investments Ltd i</w:t>
    </w:r>
    <w:r w:rsidRPr="00123BB8">
      <w:rPr>
        <w:rFonts w:ascii="Open Sans Light" w:hAnsi="Open Sans Light"/>
        <w:sz w:val="18"/>
      </w:rPr>
      <w:t xml:space="preserve">s </w:t>
    </w:r>
    <w:proofErr w:type="spellStart"/>
    <w:r w:rsidRPr="00123BB8">
      <w:rPr>
        <w:rFonts w:ascii="Open Sans Light" w:hAnsi="Open Sans Light"/>
        <w:sz w:val="18"/>
      </w:rPr>
      <w:t>authorised</w:t>
    </w:r>
    <w:proofErr w:type="spellEnd"/>
    <w:r w:rsidRPr="00123BB8">
      <w:rPr>
        <w:rFonts w:ascii="Open Sans Light" w:hAnsi="Open Sans Light"/>
        <w:sz w:val="18"/>
      </w:rPr>
      <w:t xml:space="preserve"> and regulated by the Financial Conduct Authority (Registration no. 483868). Registered in England and Wales (Company no. 6539190)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A047" w14:textId="77777777" w:rsidR="00E46DBB" w:rsidRDefault="00E46DBB" w:rsidP="00562901">
      <w:r>
        <w:separator/>
      </w:r>
    </w:p>
  </w:footnote>
  <w:footnote w:type="continuationSeparator" w:id="0">
    <w:p w14:paraId="786761AA" w14:textId="77777777" w:rsidR="00E46DBB" w:rsidRDefault="00E46DBB" w:rsidP="0056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4DF"/>
    <w:multiLevelType w:val="hybridMultilevel"/>
    <w:tmpl w:val="A98294F0"/>
    <w:lvl w:ilvl="0" w:tplc="C358A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E178E"/>
    <w:multiLevelType w:val="hybridMultilevel"/>
    <w:tmpl w:val="A4D02C08"/>
    <w:lvl w:ilvl="0" w:tplc="EA38F6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CB2"/>
    <w:multiLevelType w:val="hybridMultilevel"/>
    <w:tmpl w:val="90848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56AD3"/>
    <w:multiLevelType w:val="hybridMultilevel"/>
    <w:tmpl w:val="96B4DD74"/>
    <w:lvl w:ilvl="0" w:tplc="E9D89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30C3"/>
    <w:multiLevelType w:val="hybridMultilevel"/>
    <w:tmpl w:val="CFA68B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868FC"/>
    <w:multiLevelType w:val="hybridMultilevel"/>
    <w:tmpl w:val="9244B3A0"/>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2E5831"/>
    <w:multiLevelType w:val="hybridMultilevel"/>
    <w:tmpl w:val="AC6C4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334A1"/>
    <w:multiLevelType w:val="hybridMultilevel"/>
    <w:tmpl w:val="783C2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C6D54"/>
    <w:multiLevelType w:val="hybridMultilevel"/>
    <w:tmpl w:val="157EC35A"/>
    <w:lvl w:ilvl="0" w:tplc="79D8F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37F5C"/>
    <w:multiLevelType w:val="hybridMultilevel"/>
    <w:tmpl w:val="5FDCEDD2"/>
    <w:lvl w:ilvl="0" w:tplc="8B688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45697"/>
    <w:multiLevelType w:val="hybridMultilevel"/>
    <w:tmpl w:val="04C0B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B24C8"/>
    <w:multiLevelType w:val="hybridMultilevel"/>
    <w:tmpl w:val="ADD2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E1B2E"/>
    <w:multiLevelType w:val="hybridMultilevel"/>
    <w:tmpl w:val="B654699A"/>
    <w:lvl w:ilvl="0" w:tplc="0840F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103D7"/>
    <w:multiLevelType w:val="hybridMultilevel"/>
    <w:tmpl w:val="E98412E8"/>
    <w:lvl w:ilvl="0" w:tplc="0E02C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F357E"/>
    <w:multiLevelType w:val="hybridMultilevel"/>
    <w:tmpl w:val="A65E0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E5644"/>
    <w:multiLevelType w:val="hybridMultilevel"/>
    <w:tmpl w:val="66C6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91AE0"/>
    <w:multiLevelType w:val="hybridMultilevel"/>
    <w:tmpl w:val="9B86E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144410"/>
    <w:multiLevelType w:val="hybridMultilevel"/>
    <w:tmpl w:val="618A70D8"/>
    <w:lvl w:ilvl="0" w:tplc="C35C1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162D1"/>
    <w:multiLevelType w:val="hybridMultilevel"/>
    <w:tmpl w:val="BDCAA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202F4"/>
    <w:multiLevelType w:val="hybridMultilevel"/>
    <w:tmpl w:val="84C60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A32DA"/>
    <w:multiLevelType w:val="hybridMultilevel"/>
    <w:tmpl w:val="FFC257EA"/>
    <w:lvl w:ilvl="0" w:tplc="9FCA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572EE"/>
    <w:multiLevelType w:val="hybridMultilevel"/>
    <w:tmpl w:val="B734F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B632D3"/>
    <w:multiLevelType w:val="hybridMultilevel"/>
    <w:tmpl w:val="82DA842C"/>
    <w:lvl w:ilvl="0" w:tplc="3A0E9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C4F7B"/>
    <w:multiLevelType w:val="hybridMultilevel"/>
    <w:tmpl w:val="9E76BA74"/>
    <w:lvl w:ilvl="0" w:tplc="EAA2E9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94B54"/>
    <w:multiLevelType w:val="hybridMultilevel"/>
    <w:tmpl w:val="8FC60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B4FA6"/>
    <w:multiLevelType w:val="hybridMultilevel"/>
    <w:tmpl w:val="DE620E4A"/>
    <w:lvl w:ilvl="0" w:tplc="34562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F07201"/>
    <w:multiLevelType w:val="hybridMultilevel"/>
    <w:tmpl w:val="ABFC6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A3295"/>
    <w:multiLevelType w:val="hybridMultilevel"/>
    <w:tmpl w:val="A8D2F478"/>
    <w:lvl w:ilvl="0" w:tplc="A5A057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CB4BAF"/>
    <w:multiLevelType w:val="hybridMultilevel"/>
    <w:tmpl w:val="62548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B412C0"/>
    <w:multiLevelType w:val="hybridMultilevel"/>
    <w:tmpl w:val="F8FEC700"/>
    <w:lvl w:ilvl="0" w:tplc="2480B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422E41"/>
    <w:multiLevelType w:val="hybridMultilevel"/>
    <w:tmpl w:val="8772A988"/>
    <w:lvl w:ilvl="0" w:tplc="94167F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A2303"/>
    <w:multiLevelType w:val="hybridMultilevel"/>
    <w:tmpl w:val="96CEF1E2"/>
    <w:lvl w:ilvl="0" w:tplc="B2A4E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8593E"/>
    <w:multiLevelType w:val="hybridMultilevel"/>
    <w:tmpl w:val="81D2ED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7429B"/>
    <w:multiLevelType w:val="hybridMultilevel"/>
    <w:tmpl w:val="2D3CD16A"/>
    <w:lvl w:ilvl="0" w:tplc="6BC62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9497B"/>
    <w:multiLevelType w:val="hybridMultilevel"/>
    <w:tmpl w:val="9244B3A0"/>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A0E3F45"/>
    <w:multiLevelType w:val="hybridMultilevel"/>
    <w:tmpl w:val="088E8D7E"/>
    <w:lvl w:ilvl="0" w:tplc="F50A4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81D3D"/>
    <w:multiLevelType w:val="hybridMultilevel"/>
    <w:tmpl w:val="A88EE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83641"/>
    <w:multiLevelType w:val="hybridMultilevel"/>
    <w:tmpl w:val="62548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34"/>
  </w:num>
  <w:num w:numId="4">
    <w:abstractNumId w:val="15"/>
  </w:num>
  <w:num w:numId="5">
    <w:abstractNumId w:val="36"/>
  </w:num>
  <w:num w:numId="6">
    <w:abstractNumId w:val="17"/>
  </w:num>
  <w:num w:numId="7">
    <w:abstractNumId w:val="4"/>
  </w:num>
  <w:num w:numId="8">
    <w:abstractNumId w:val="13"/>
  </w:num>
  <w:num w:numId="9">
    <w:abstractNumId w:val="7"/>
  </w:num>
  <w:num w:numId="10">
    <w:abstractNumId w:val="23"/>
  </w:num>
  <w:num w:numId="11">
    <w:abstractNumId w:val="22"/>
  </w:num>
  <w:num w:numId="12">
    <w:abstractNumId w:val="18"/>
  </w:num>
  <w:num w:numId="13">
    <w:abstractNumId w:val="6"/>
  </w:num>
  <w:num w:numId="14">
    <w:abstractNumId w:val="1"/>
  </w:num>
  <w:num w:numId="15">
    <w:abstractNumId w:val="25"/>
  </w:num>
  <w:num w:numId="16">
    <w:abstractNumId w:val="16"/>
  </w:num>
  <w:num w:numId="17">
    <w:abstractNumId w:val="26"/>
  </w:num>
  <w:num w:numId="18">
    <w:abstractNumId w:val="10"/>
  </w:num>
  <w:num w:numId="19">
    <w:abstractNumId w:val="21"/>
  </w:num>
  <w:num w:numId="20">
    <w:abstractNumId w:val="14"/>
  </w:num>
  <w:num w:numId="21">
    <w:abstractNumId w:val="33"/>
  </w:num>
  <w:num w:numId="22">
    <w:abstractNumId w:val="35"/>
  </w:num>
  <w:num w:numId="23">
    <w:abstractNumId w:val="29"/>
  </w:num>
  <w:num w:numId="24">
    <w:abstractNumId w:val="9"/>
  </w:num>
  <w:num w:numId="25">
    <w:abstractNumId w:val="30"/>
  </w:num>
  <w:num w:numId="26">
    <w:abstractNumId w:val="12"/>
  </w:num>
  <w:num w:numId="27">
    <w:abstractNumId w:val="0"/>
  </w:num>
  <w:num w:numId="28">
    <w:abstractNumId w:val="11"/>
  </w:num>
  <w:num w:numId="29">
    <w:abstractNumId w:val="8"/>
  </w:num>
  <w:num w:numId="30">
    <w:abstractNumId w:val="20"/>
  </w:num>
  <w:num w:numId="31">
    <w:abstractNumId w:val="32"/>
  </w:num>
  <w:num w:numId="32">
    <w:abstractNumId w:val="31"/>
  </w:num>
  <w:num w:numId="33">
    <w:abstractNumId w:val="24"/>
  </w:num>
  <w:num w:numId="34">
    <w:abstractNumId w:val="27"/>
  </w:num>
  <w:num w:numId="35">
    <w:abstractNumId w:val="37"/>
  </w:num>
  <w:num w:numId="36">
    <w:abstractNumId w:val="28"/>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A5"/>
    <w:rsid w:val="0000025A"/>
    <w:rsid w:val="000018AA"/>
    <w:rsid w:val="0000403F"/>
    <w:rsid w:val="00007243"/>
    <w:rsid w:val="0001083A"/>
    <w:rsid w:val="000119A8"/>
    <w:rsid w:val="00012602"/>
    <w:rsid w:val="000134EC"/>
    <w:rsid w:val="00014546"/>
    <w:rsid w:val="00022CAA"/>
    <w:rsid w:val="000231B1"/>
    <w:rsid w:val="000241DA"/>
    <w:rsid w:val="0002488C"/>
    <w:rsid w:val="000261D6"/>
    <w:rsid w:val="000269C9"/>
    <w:rsid w:val="000306FB"/>
    <w:rsid w:val="00035933"/>
    <w:rsid w:val="000368AE"/>
    <w:rsid w:val="00043A64"/>
    <w:rsid w:val="00044F14"/>
    <w:rsid w:val="00050669"/>
    <w:rsid w:val="00050805"/>
    <w:rsid w:val="00051932"/>
    <w:rsid w:val="00052692"/>
    <w:rsid w:val="00052979"/>
    <w:rsid w:val="00056EE1"/>
    <w:rsid w:val="00060A52"/>
    <w:rsid w:val="00064495"/>
    <w:rsid w:val="00065535"/>
    <w:rsid w:val="00066C6D"/>
    <w:rsid w:val="00070BF3"/>
    <w:rsid w:val="00071C38"/>
    <w:rsid w:val="0007469A"/>
    <w:rsid w:val="00074885"/>
    <w:rsid w:val="00074E26"/>
    <w:rsid w:val="00074F2B"/>
    <w:rsid w:val="000904CB"/>
    <w:rsid w:val="000919C9"/>
    <w:rsid w:val="0009239B"/>
    <w:rsid w:val="0009581C"/>
    <w:rsid w:val="000A136D"/>
    <w:rsid w:val="000A282B"/>
    <w:rsid w:val="000A426E"/>
    <w:rsid w:val="000A4945"/>
    <w:rsid w:val="000A6FC5"/>
    <w:rsid w:val="000A74AB"/>
    <w:rsid w:val="000B4577"/>
    <w:rsid w:val="000B548B"/>
    <w:rsid w:val="000B551B"/>
    <w:rsid w:val="000C0997"/>
    <w:rsid w:val="000C4453"/>
    <w:rsid w:val="000C79AC"/>
    <w:rsid w:val="000D0767"/>
    <w:rsid w:val="000D0A39"/>
    <w:rsid w:val="000D0CAB"/>
    <w:rsid w:val="000D1593"/>
    <w:rsid w:val="000E0966"/>
    <w:rsid w:val="000E51AE"/>
    <w:rsid w:val="000E73BB"/>
    <w:rsid w:val="000E7CC6"/>
    <w:rsid w:val="000F044A"/>
    <w:rsid w:val="000F18F2"/>
    <w:rsid w:val="000F25D9"/>
    <w:rsid w:val="000F318E"/>
    <w:rsid w:val="000F3DC9"/>
    <w:rsid w:val="000F68A6"/>
    <w:rsid w:val="000F69A8"/>
    <w:rsid w:val="000F73FF"/>
    <w:rsid w:val="00101061"/>
    <w:rsid w:val="00103B68"/>
    <w:rsid w:val="001050FD"/>
    <w:rsid w:val="00105369"/>
    <w:rsid w:val="00106C12"/>
    <w:rsid w:val="00106D41"/>
    <w:rsid w:val="001114F5"/>
    <w:rsid w:val="00123BB8"/>
    <w:rsid w:val="00125A34"/>
    <w:rsid w:val="001321B1"/>
    <w:rsid w:val="001379DB"/>
    <w:rsid w:val="00137C06"/>
    <w:rsid w:val="0014235A"/>
    <w:rsid w:val="0014734B"/>
    <w:rsid w:val="00150254"/>
    <w:rsid w:val="001675DC"/>
    <w:rsid w:val="00172285"/>
    <w:rsid w:val="00172D5E"/>
    <w:rsid w:val="00173D24"/>
    <w:rsid w:val="0017502F"/>
    <w:rsid w:val="00176C03"/>
    <w:rsid w:val="001807C4"/>
    <w:rsid w:val="001836F8"/>
    <w:rsid w:val="001845CF"/>
    <w:rsid w:val="00184C9B"/>
    <w:rsid w:val="001950D3"/>
    <w:rsid w:val="001A0E61"/>
    <w:rsid w:val="001A3FC9"/>
    <w:rsid w:val="001A52C9"/>
    <w:rsid w:val="001B10A5"/>
    <w:rsid w:val="001B52C6"/>
    <w:rsid w:val="001B60A9"/>
    <w:rsid w:val="001B68B4"/>
    <w:rsid w:val="001C344F"/>
    <w:rsid w:val="001C3904"/>
    <w:rsid w:val="001C4D9B"/>
    <w:rsid w:val="001C5E06"/>
    <w:rsid w:val="001C716A"/>
    <w:rsid w:val="001C7E74"/>
    <w:rsid w:val="001D03CB"/>
    <w:rsid w:val="001D0692"/>
    <w:rsid w:val="001D1E9F"/>
    <w:rsid w:val="001D2E17"/>
    <w:rsid w:val="001D4E4E"/>
    <w:rsid w:val="001D74FE"/>
    <w:rsid w:val="001E1742"/>
    <w:rsid w:val="001E5B5D"/>
    <w:rsid w:val="001F0564"/>
    <w:rsid w:val="001F0FFF"/>
    <w:rsid w:val="001F3789"/>
    <w:rsid w:val="001F6677"/>
    <w:rsid w:val="001F7865"/>
    <w:rsid w:val="002001F5"/>
    <w:rsid w:val="0020176C"/>
    <w:rsid w:val="00201F1E"/>
    <w:rsid w:val="002039EC"/>
    <w:rsid w:val="00212A1A"/>
    <w:rsid w:val="00213460"/>
    <w:rsid w:val="00214447"/>
    <w:rsid w:val="00215031"/>
    <w:rsid w:val="00215452"/>
    <w:rsid w:val="00221341"/>
    <w:rsid w:val="0023074E"/>
    <w:rsid w:val="00230F85"/>
    <w:rsid w:val="00235068"/>
    <w:rsid w:val="002352DD"/>
    <w:rsid w:val="002366E3"/>
    <w:rsid w:val="0024002D"/>
    <w:rsid w:val="00243010"/>
    <w:rsid w:val="002452A6"/>
    <w:rsid w:val="0026251E"/>
    <w:rsid w:val="002634BF"/>
    <w:rsid w:val="002645CD"/>
    <w:rsid w:val="0026578E"/>
    <w:rsid w:val="0026610F"/>
    <w:rsid w:val="00277167"/>
    <w:rsid w:val="00277D20"/>
    <w:rsid w:val="00286A73"/>
    <w:rsid w:val="002908C0"/>
    <w:rsid w:val="002923F0"/>
    <w:rsid w:val="00294FB2"/>
    <w:rsid w:val="00297DFF"/>
    <w:rsid w:val="002A0835"/>
    <w:rsid w:val="002B14C0"/>
    <w:rsid w:val="002B3996"/>
    <w:rsid w:val="002B57A9"/>
    <w:rsid w:val="002B7542"/>
    <w:rsid w:val="002B7E7A"/>
    <w:rsid w:val="002C0987"/>
    <w:rsid w:val="002C49B7"/>
    <w:rsid w:val="002C7810"/>
    <w:rsid w:val="002D27CE"/>
    <w:rsid w:val="002E1C32"/>
    <w:rsid w:val="002E368F"/>
    <w:rsid w:val="002E4988"/>
    <w:rsid w:val="002E6EE5"/>
    <w:rsid w:val="002F0BD0"/>
    <w:rsid w:val="002F5801"/>
    <w:rsid w:val="003008F9"/>
    <w:rsid w:val="003047CC"/>
    <w:rsid w:val="00311DC4"/>
    <w:rsid w:val="00314F38"/>
    <w:rsid w:val="00316C13"/>
    <w:rsid w:val="00316F5A"/>
    <w:rsid w:val="003265D9"/>
    <w:rsid w:val="00327A74"/>
    <w:rsid w:val="003342C2"/>
    <w:rsid w:val="00335389"/>
    <w:rsid w:val="00342554"/>
    <w:rsid w:val="00342E9F"/>
    <w:rsid w:val="003503D3"/>
    <w:rsid w:val="0035139B"/>
    <w:rsid w:val="00351593"/>
    <w:rsid w:val="003525E8"/>
    <w:rsid w:val="00352A25"/>
    <w:rsid w:val="00352DA9"/>
    <w:rsid w:val="00362763"/>
    <w:rsid w:val="0036472B"/>
    <w:rsid w:val="00366A93"/>
    <w:rsid w:val="00366C91"/>
    <w:rsid w:val="00366D78"/>
    <w:rsid w:val="00370198"/>
    <w:rsid w:val="00370983"/>
    <w:rsid w:val="003724B7"/>
    <w:rsid w:val="00372905"/>
    <w:rsid w:val="003773DB"/>
    <w:rsid w:val="003778FC"/>
    <w:rsid w:val="00381130"/>
    <w:rsid w:val="00386123"/>
    <w:rsid w:val="003911EF"/>
    <w:rsid w:val="00394F3F"/>
    <w:rsid w:val="00394FD6"/>
    <w:rsid w:val="0039745D"/>
    <w:rsid w:val="00397669"/>
    <w:rsid w:val="003B33D7"/>
    <w:rsid w:val="003B4B5C"/>
    <w:rsid w:val="003C0166"/>
    <w:rsid w:val="003C09CD"/>
    <w:rsid w:val="003C2F16"/>
    <w:rsid w:val="003C2F66"/>
    <w:rsid w:val="003D3A7B"/>
    <w:rsid w:val="003D4B5D"/>
    <w:rsid w:val="003D5759"/>
    <w:rsid w:val="003D7401"/>
    <w:rsid w:val="003E12BB"/>
    <w:rsid w:val="003E2EA3"/>
    <w:rsid w:val="003E4E10"/>
    <w:rsid w:val="003F071D"/>
    <w:rsid w:val="003F258C"/>
    <w:rsid w:val="003F3B7D"/>
    <w:rsid w:val="003F5D8C"/>
    <w:rsid w:val="003F7835"/>
    <w:rsid w:val="003F7985"/>
    <w:rsid w:val="004000AE"/>
    <w:rsid w:val="004012D5"/>
    <w:rsid w:val="004047CD"/>
    <w:rsid w:val="00406149"/>
    <w:rsid w:val="00407B7D"/>
    <w:rsid w:val="004101E7"/>
    <w:rsid w:val="00410ECB"/>
    <w:rsid w:val="004116AC"/>
    <w:rsid w:val="0042076B"/>
    <w:rsid w:val="00420C3C"/>
    <w:rsid w:val="00423B5D"/>
    <w:rsid w:val="00423CA7"/>
    <w:rsid w:val="004259CC"/>
    <w:rsid w:val="00430765"/>
    <w:rsid w:val="0043123D"/>
    <w:rsid w:val="004324D7"/>
    <w:rsid w:val="00436AA6"/>
    <w:rsid w:val="004450FE"/>
    <w:rsid w:val="004515FA"/>
    <w:rsid w:val="00452847"/>
    <w:rsid w:val="00452D6C"/>
    <w:rsid w:val="004545BD"/>
    <w:rsid w:val="00455BBA"/>
    <w:rsid w:val="00456C63"/>
    <w:rsid w:val="00462046"/>
    <w:rsid w:val="00462889"/>
    <w:rsid w:val="00465B79"/>
    <w:rsid w:val="004677F4"/>
    <w:rsid w:val="00467DD8"/>
    <w:rsid w:val="0047141E"/>
    <w:rsid w:val="00475680"/>
    <w:rsid w:val="0047620D"/>
    <w:rsid w:val="00482D6F"/>
    <w:rsid w:val="00483789"/>
    <w:rsid w:val="00484029"/>
    <w:rsid w:val="004857AC"/>
    <w:rsid w:val="00491B71"/>
    <w:rsid w:val="00492868"/>
    <w:rsid w:val="004A1560"/>
    <w:rsid w:val="004A214F"/>
    <w:rsid w:val="004A5330"/>
    <w:rsid w:val="004A7D26"/>
    <w:rsid w:val="004B1C99"/>
    <w:rsid w:val="004B3455"/>
    <w:rsid w:val="004B4BFF"/>
    <w:rsid w:val="004B6654"/>
    <w:rsid w:val="004B7266"/>
    <w:rsid w:val="004B7E36"/>
    <w:rsid w:val="004C013E"/>
    <w:rsid w:val="004C13F3"/>
    <w:rsid w:val="004C6C85"/>
    <w:rsid w:val="004C6E61"/>
    <w:rsid w:val="004C72E4"/>
    <w:rsid w:val="004C7AE4"/>
    <w:rsid w:val="004D2579"/>
    <w:rsid w:val="004D7975"/>
    <w:rsid w:val="004E1CC7"/>
    <w:rsid w:val="004E6E19"/>
    <w:rsid w:val="004E7F10"/>
    <w:rsid w:val="004F0919"/>
    <w:rsid w:val="004F24CA"/>
    <w:rsid w:val="004F2860"/>
    <w:rsid w:val="004F3369"/>
    <w:rsid w:val="004F4C26"/>
    <w:rsid w:val="004F6BA6"/>
    <w:rsid w:val="004F7926"/>
    <w:rsid w:val="00503413"/>
    <w:rsid w:val="00504945"/>
    <w:rsid w:val="00505AE2"/>
    <w:rsid w:val="00506FBB"/>
    <w:rsid w:val="00507F7D"/>
    <w:rsid w:val="005116B6"/>
    <w:rsid w:val="00512BF6"/>
    <w:rsid w:val="0051357E"/>
    <w:rsid w:val="00520861"/>
    <w:rsid w:val="00520875"/>
    <w:rsid w:val="0052130C"/>
    <w:rsid w:val="005237FC"/>
    <w:rsid w:val="00524423"/>
    <w:rsid w:val="00524CC2"/>
    <w:rsid w:val="00527A71"/>
    <w:rsid w:val="00531B36"/>
    <w:rsid w:val="0053259B"/>
    <w:rsid w:val="005343F7"/>
    <w:rsid w:val="00535673"/>
    <w:rsid w:val="00541618"/>
    <w:rsid w:val="0054215B"/>
    <w:rsid w:val="005470F4"/>
    <w:rsid w:val="00547C68"/>
    <w:rsid w:val="005512F9"/>
    <w:rsid w:val="00552BD8"/>
    <w:rsid w:val="00552F05"/>
    <w:rsid w:val="005628D0"/>
    <w:rsid w:val="00562901"/>
    <w:rsid w:val="00563D27"/>
    <w:rsid w:val="0056426B"/>
    <w:rsid w:val="0056597E"/>
    <w:rsid w:val="00570E27"/>
    <w:rsid w:val="0057546D"/>
    <w:rsid w:val="005759BD"/>
    <w:rsid w:val="00575F6D"/>
    <w:rsid w:val="005808B3"/>
    <w:rsid w:val="0058116B"/>
    <w:rsid w:val="0058646C"/>
    <w:rsid w:val="005A224D"/>
    <w:rsid w:val="005A60D9"/>
    <w:rsid w:val="005A6744"/>
    <w:rsid w:val="005A6E20"/>
    <w:rsid w:val="005A7B21"/>
    <w:rsid w:val="005B1078"/>
    <w:rsid w:val="005B1828"/>
    <w:rsid w:val="005B1953"/>
    <w:rsid w:val="005B44AD"/>
    <w:rsid w:val="005C2672"/>
    <w:rsid w:val="005C28B1"/>
    <w:rsid w:val="005C2E3B"/>
    <w:rsid w:val="005D2E70"/>
    <w:rsid w:val="005D5319"/>
    <w:rsid w:val="005D6446"/>
    <w:rsid w:val="005E0436"/>
    <w:rsid w:val="005E24BC"/>
    <w:rsid w:val="005E3256"/>
    <w:rsid w:val="005F72A1"/>
    <w:rsid w:val="00601CEF"/>
    <w:rsid w:val="0060324B"/>
    <w:rsid w:val="00603BEB"/>
    <w:rsid w:val="00603C0F"/>
    <w:rsid w:val="0060678C"/>
    <w:rsid w:val="006076E6"/>
    <w:rsid w:val="00610E3A"/>
    <w:rsid w:val="0061336E"/>
    <w:rsid w:val="0061625D"/>
    <w:rsid w:val="006263A2"/>
    <w:rsid w:val="00632E0D"/>
    <w:rsid w:val="00634914"/>
    <w:rsid w:val="00636218"/>
    <w:rsid w:val="006371C0"/>
    <w:rsid w:val="006375EF"/>
    <w:rsid w:val="00650E4E"/>
    <w:rsid w:val="006576D6"/>
    <w:rsid w:val="00664428"/>
    <w:rsid w:val="0067019D"/>
    <w:rsid w:val="00693CA5"/>
    <w:rsid w:val="0069581C"/>
    <w:rsid w:val="006966EF"/>
    <w:rsid w:val="006A2298"/>
    <w:rsid w:val="006A421A"/>
    <w:rsid w:val="006A7D48"/>
    <w:rsid w:val="006B764C"/>
    <w:rsid w:val="006C0EC9"/>
    <w:rsid w:val="006C4619"/>
    <w:rsid w:val="006C7A18"/>
    <w:rsid w:val="006C7AF9"/>
    <w:rsid w:val="006D005C"/>
    <w:rsid w:val="006D04B3"/>
    <w:rsid w:val="006D05FF"/>
    <w:rsid w:val="006D0F01"/>
    <w:rsid w:val="006D1B8C"/>
    <w:rsid w:val="006D2F19"/>
    <w:rsid w:val="006D532E"/>
    <w:rsid w:val="006D77D8"/>
    <w:rsid w:val="006D7E64"/>
    <w:rsid w:val="006E0C04"/>
    <w:rsid w:val="006E7668"/>
    <w:rsid w:val="006F6ACC"/>
    <w:rsid w:val="006F7109"/>
    <w:rsid w:val="007001C6"/>
    <w:rsid w:val="00702EF4"/>
    <w:rsid w:val="00702F14"/>
    <w:rsid w:val="00705562"/>
    <w:rsid w:val="00705D46"/>
    <w:rsid w:val="0071660B"/>
    <w:rsid w:val="007170BB"/>
    <w:rsid w:val="00724D93"/>
    <w:rsid w:val="0072537A"/>
    <w:rsid w:val="0073100C"/>
    <w:rsid w:val="00731902"/>
    <w:rsid w:val="00744196"/>
    <w:rsid w:val="007502F2"/>
    <w:rsid w:val="00750384"/>
    <w:rsid w:val="00752508"/>
    <w:rsid w:val="00753374"/>
    <w:rsid w:val="007541E0"/>
    <w:rsid w:val="00754F1A"/>
    <w:rsid w:val="00761501"/>
    <w:rsid w:val="007620D1"/>
    <w:rsid w:val="0076234B"/>
    <w:rsid w:val="00764C1B"/>
    <w:rsid w:val="00765925"/>
    <w:rsid w:val="0077445E"/>
    <w:rsid w:val="00775219"/>
    <w:rsid w:val="00777F21"/>
    <w:rsid w:val="00784B9B"/>
    <w:rsid w:val="00787461"/>
    <w:rsid w:val="0079219F"/>
    <w:rsid w:val="0079399D"/>
    <w:rsid w:val="00793E2D"/>
    <w:rsid w:val="007A28F4"/>
    <w:rsid w:val="007A312D"/>
    <w:rsid w:val="007A47CC"/>
    <w:rsid w:val="007A5BB5"/>
    <w:rsid w:val="007B3131"/>
    <w:rsid w:val="007B409A"/>
    <w:rsid w:val="007C2DCA"/>
    <w:rsid w:val="007D1186"/>
    <w:rsid w:val="007D2676"/>
    <w:rsid w:val="007D2BED"/>
    <w:rsid w:val="007D6688"/>
    <w:rsid w:val="007E22F9"/>
    <w:rsid w:val="007E24A8"/>
    <w:rsid w:val="007E7216"/>
    <w:rsid w:val="007F1A4C"/>
    <w:rsid w:val="007F22C7"/>
    <w:rsid w:val="007F59C3"/>
    <w:rsid w:val="007F5F32"/>
    <w:rsid w:val="007F6D7F"/>
    <w:rsid w:val="00802AB8"/>
    <w:rsid w:val="00813820"/>
    <w:rsid w:val="00817A47"/>
    <w:rsid w:val="00817B7D"/>
    <w:rsid w:val="00824115"/>
    <w:rsid w:val="008273E2"/>
    <w:rsid w:val="00832207"/>
    <w:rsid w:val="00834E3F"/>
    <w:rsid w:val="00835B32"/>
    <w:rsid w:val="008362DF"/>
    <w:rsid w:val="0084043C"/>
    <w:rsid w:val="0084274E"/>
    <w:rsid w:val="008448F5"/>
    <w:rsid w:val="00845437"/>
    <w:rsid w:val="008465E7"/>
    <w:rsid w:val="00847845"/>
    <w:rsid w:val="0085161C"/>
    <w:rsid w:val="00854D8A"/>
    <w:rsid w:val="0086562A"/>
    <w:rsid w:val="0086619B"/>
    <w:rsid w:val="00867194"/>
    <w:rsid w:val="00867D6F"/>
    <w:rsid w:val="00870EE4"/>
    <w:rsid w:val="00873BCE"/>
    <w:rsid w:val="00874E3E"/>
    <w:rsid w:val="00881B45"/>
    <w:rsid w:val="00882411"/>
    <w:rsid w:val="008837ED"/>
    <w:rsid w:val="00884F92"/>
    <w:rsid w:val="00886745"/>
    <w:rsid w:val="00890C26"/>
    <w:rsid w:val="0089536F"/>
    <w:rsid w:val="008A2316"/>
    <w:rsid w:val="008A3A11"/>
    <w:rsid w:val="008A6781"/>
    <w:rsid w:val="008B1FA5"/>
    <w:rsid w:val="008B2FF2"/>
    <w:rsid w:val="008B38B0"/>
    <w:rsid w:val="008C167A"/>
    <w:rsid w:val="008C4714"/>
    <w:rsid w:val="008C7D2F"/>
    <w:rsid w:val="008D270D"/>
    <w:rsid w:val="008D30A0"/>
    <w:rsid w:val="008D31A4"/>
    <w:rsid w:val="008E1658"/>
    <w:rsid w:val="0090196E"/>
    <w:rsid w:val="009073AE"/>
    <w:rsid w:val="00916B38"/>
    <w:rsid w:val="009172F2"/>
    <w:rsid w:val="009262D5"/>
    <w:rsid w:val="0093093A"/>
    <w:rsid w:val="00932C2E"/>
    <w:rsid w:val="0093360D"/>
    <w:rsid w:val="00940F9A"/>
    <w:rsid w:val="00941907"/>
    <w:rsid w:val="009462B8"/>
    <w:rsid w:val="00946D08"/>
    <w:rsid w:val="00951643"/>
    <w:rsid w:val="009528F5"/>
    <w:rsid w:val="00952923"/>
    <w:rsid w:val="009542A6"/>
    <w:rsid w:val="00955502"/>
    <w:rsid w:val="00963329"/>
    <w:rsid w:val="00964EE6"/>
    <w:rsid w:val="00967304"/>
    <w:rsid w:val="00972653"/>
    <w:rsid w:val="00972BD8"/>
    <w:rsid w:val="00975451"/>
    <w:rsid w:val="00976C7E"/>
    <w:rsid w:val="00977228"/>
    <w:rsid w:val="009777F5"/>
    <w:rsid w:val="0098030C"/>
    <w:rsid w:val="0098412C"/>
    <w:rsid w:val="00987B7D"/>
    <w:rsid w:val="00995009"/>
    <w:rsid w:val="0099529A"/>
    <w:rsid w:val="00997871"/>
    <w:rsid w:val="009A19E2"/>
    <w:rsid w:val="009A450A"/>
    <w:rsid w:val="009A4B38"/>
    <w:rsid w:val="009B396F"/>
    <w:rsid w:val="009B410A"/>
    <w:rsid w:val="009B5F89"/>
    <w:rsid w:val="009B640B"/>
    <w:rsid w:val="009B6994"/>
    <w:rsid w:val="009C31FD"/>
    <w:rsid w:val="009D1028"/>
    <w:rsid w:val="009D6041"/>
    <w:rsid w:val="009D77BF"/>
    <w:rsid w:val="009E0E3D"/>
    <w:rsid w:val="009E4BB5"/>
    <w:rsid w:val="009E5765"/>
    <w:rsid w:val="009E680E"/>
    <w:rsid w:val="009E7F8E"/>
    <w:rsid w:val="009F29C8"/>
    <w:rsid w:val="00A00010"/>
    <w:rsid w:val="00A02CDF"/>
    <w:rsid w:val="00A05175"/>
    <w:rsid w:val="00A05A18"/>
    <w:rsid w:val="00A124A3"/>
    <w:rsid w:val="00A1302E"/>
    <w:rsid w:val="00A1492B"/>
    <w:rsid w:val="00A15F00"/>
    <w:rsid w:val="00A25C78"/>
    <w:rsid w:val="00A31024"/>
    <w:rsid w:val="00A31998"/>
    <w:rsid w:val="00A41FFD"/>
    <w:rsid w:val="00A42A6B"/>
    <w:rsid w:val="00A4510A"/>
    <w:rsid w:val="00A457D7"/>
    <w:rsid w:val="00A519D0"/>
    <w:rsid w:val="00A55398"/>
    <w:rsid w:val="00A56EAA"/>
    <w:rsid w:val="00A62143"/>
    <w:rsid w:val="00A6357A"/>
    <w:rsid w:val="00A64C7B"/>
    <w:rsid w:val="00A6619B"/>
    <w:rsid w:val="00A73D2C"/>
    <w:rsid w:val="00A743B1"/>
    <w:rsid w:val="00A77D5F"/>
    <w:rsid w:val="00A81DC7"/>
    <w:rsid w:val="00A8266D"/>
    <w:rsid w:val="00A82E81"/>
    <w:rsid w:val="00A87D80"/>
    <w:rsid w:val="00A92AC2"/>
    <w:rsid w:val="00A93CAE"/>
    <w:rsid w:val="00A93F09"/>
    <w:rsid w:val="00A94717"/>
    <w:rsid w:val="00A94D4D"/>
    <w:rsid w:val="00AA0B01"/>
    <w:rsid w:val="00AA0E2F"/>
    <w:rsid w:val="00AB000E"/>
    <w:rsid w:val="00AB046D"/>
    <w:rsid w:val="00AB0CC9"/>
    <w:rsid w:val="00AB0E41"/>
    <w:rsid w:val="00AB2AAA"/>
    <w:rsid w:val="00AB388A"/>
    <w:rsid w:val="00AB75E0"/>
    <w:rsid w:val="00AC177F"/>
    <w:rsid w:val="00AC1B04"/>
    <w:rsid w:val="00AC3609"/>
    <w:rsid w:val="00AC760B"/>
    <w:rsid w:val="00AD14B9"/>
    <w:rsid w:val="00AD2EBB"/>
    <w:rsid w:val="00AD798F"/>
    <w:rsid w:val="00AE1165"/>
    <w:rsid w:val="00AE1FF0"/>
    <w:rsid w:val="00AE3945"/>
    <w:rsid w:val="00AF2E2C"/>
    <w:rsid w:val="00AF2F3E"/>
    <w:rsid w:val="00AF578D"/>
    <w:rsid w:val="00AF5842"/>
    <w:rsid w:val="00AF587B"/>
    <w:rsid w:val="00B02620"/>
    <w:rsid w:val="00B064E4"/>
    <w:rsid w:val="00B07099"/>
    <w:rsid w:val="00B14D69"/>
    <w:rsid w:val="00B217D7"/>
    <w:rsid w:val="00B220FD"/>
    <w:rsid w:val="00B26D8C"/>
    <w:rsid w:val="00B2797B"/>
    <w:rsid w:val="00B3074D"/>
    <w:rsid w:val="00B35C49"/>
    <w:rsid w:val="00B450E8"/>
    <w:rsid w:val="00B47A70"/>
    <w:rsid w:val="00B538E8"/>
    <w:rsid w:val="00B62245"/>
    <w:rsid w:val="00B6417E"/>
    <w:rsid w:val="00B72D1F"/>
    <w:rsid w:val="00B75622"/>
    <w:rsid w:val="00B75C3F"/>
    <w:rsid w:val="00B805ED"/>
    <w:rsid w:val="00B80FCD"/>
    <w:rsid w:val="00B825EC"/>
    <w:rsid w:val="00B85A48"/>
    <w:rsid w:val="00B91CE4"/>
    <w:rsid w:val="00B936AD"/>
    <w:rsid w:val="00B93DC7"/>
    <w:rsid w:val="00B96A56"/>
    <w:rsid w:val="00B97528"/>
    <w:rsid w:val="00BA3852"/>
    <w:rsid w:val="00BA3F16"/>
    <w:rsid w:val="00BA6C15"/>
    <w:rsid w:val="00BB43F0"/>
    <w:rsid w:val="00BB4D12"/>
    <w:rsid w:val="00BC0A89"/>
    <w:rsid w:val="00BC0B02"/>
    <w:rsid w:val="00BC17C4"/>
    <w:rsid w:val="00BC3128"/>
    <w:rsid w:val="00BC36FD"/>
    <w:rsid w:val="00BC5341"/>
    <w:rsid w:val="00BD2E43"/>
    <w:rsid w:val="00BE0788"/>
    <w:rsid w:val="00BE6175"/>
    <w:rsid w:val="00BE7410"/>
    <w:rsid w:val="00BE7B48"/>
    <w:rsid w:val="00BF31BC"/>
    <w:rsid w:val="00C038FA"/>
    <w:rsid w:val="00C04DCD"/>
    <w:rsid w:val="00C06A99"/>
    <w:rsid w:val="00C23548"/>
    <w:rsid w:val="00C23F60"/>
    <w:rsid w:val="00C4015E"/>
    <w:rsid w:val="00C50206"/>
    <w:rsid w:val="00C50EF5"/>
    <w:rsid w:val="00C545D8"/>
    <w:rsid w:val="00C553C7"/>
    <w:rsid w:val="00C56547"/>
    <w:rsid w:val="00C57AEC"/>
    <w:rsid w:val="00C605ED"/>
    <w:rsid w:val="00C676FE"/>
    <w:rsid w:val="00C70036"/>
    <w:rsid w:val="00C7317C"/>
    <w:rsid w:val="00C7355E"/>
    <w:rsid w:val="00C74619"/>
    <w:rsid w:val="00C755E2"/>
    <w:rsid w:val="00C76193"/>
    <w:rsid w:val="00C76993"/>
    <w:rsid w:val="00C81080"/>
    <w:rsid w:val="00C83C3C"/>
    <w:rsid w:val="00C850C6"/>
    <w:rsid w:val="00C85EE4"/>
    <w:rsid w:val="00C902BF"/>
    <w:rsid w:val="00C92F20"/>
    <w:rsid w:val="00C9361A"/>
    <w:rsid w:val="00C94DF9"/>
    <w:rsid w:val="00CA2626"/>
    <w:rsid w:val="00CA3B4E"/>
    <w:rsid w:val="00CA41DE"/>
    <w:rsid w:val="00CA5FDA"/>
    <w:rsid w:val="00CA7B50"/>
    <w:rsid w:val="00CB0061"/>
    <w:rsid w:val="00CB0DBB"/>
    <w:rsid w:val="00CB1161"/>
    <w:rsid w:val="00CB4E72"/>
    <w:rsid w:val="00CB6B91"/>
    <w:rsid w:val="00CC1E3D"/>
    <w:rsid w:val="00CC5BB9"/>
    <w:rsid w:val="00CC5F2F"/>
    <w:rsid w:val="00CD4E5B"/>
    <w:rsid w:val="00CD7517"/>
    <w:rsid w:val="00CE1EB5"/>
    <w:rsid w:val="00CE7C98"/>
    <w:rsid w:val="00CE7F79"/>
    <w:rsid w:val="00CF3F9D"/>
    <w:rsid w:val="00D100CA"/>
    <w:rsid w:val="00D1196F"/>
    <w:rsid w:val="00D121B8"/>
    <w:rsid w:val="00D12F93"/>
    <w:rsid w:val="00D13268"/>
    <w:rsid w:val="00D13866"/>
    <w:rsid w:val="00D16FD0"/>
    <w:rsid w:val="00D20604"/>
    <w:rsid w:val="00D21812"/>
    <w:rsid w:val="00D24D33"/>
    <w:rsid w:val="00D32CCE"/>
    <w:rsid w:val="00D34B45"/>
    <w:rsid w:val="00D4207F"/>
    <w:rsid w:val="00D47C38"/>
    <w:rsid w:val="00D50ACC"/>
    <w:rsid w:val="00D563E6"/>
    <w:rsid w:val="00D61E9F"/>
    <w:rsid w:val="00D63F6D"/>
    <w:rsid w:val="00D64237"/>
    <w:rsid w:val="00D644D8"/>
    <w:rsid w:val="00D67D84"/>
    <w:rsid w:val="00D718F9"/>
    <w:rsid w:val="00D7454B"/>
    <w:rsid w:val="00D7477A"/>
    <w:rsid w:val="00D76996"/>
    <w:rsid w:val="00D81027"/>
    <w:rsid w:val="00D84398"/>
    <w:rsid w:val="00D86513"/>
    <w:rsid w:val="00D869C2"/>
    <w:rsid w:val="00D87A5D"/>
    <w:rsid w:val="00D906E5"/>
    <w:rsid w:val="00D90AA3"/>
    <w:rsid w:val="00D90D6D"/>
    <w:rsid w:val="00D91FF2"/>
    <w:rsid w:val="00DA4D24"/>
    <w:rsid w:val="00DA78F0"/>
    <w:rsid w:val="00DB2566"/>
    <w:rsid w:val="00DB359F"/>
    <w:rsid w:val="00DC3F6F"/>
    <w:rsid w:val="00DC5CD7"/>
    <w:rsid w:val="00DC5D75"/>
    <w:rsid w:val="00DC641C"/>
    <w:rsid w:val="00DD0C62"/>
    <w:rsid w:val="00DD1C44"/>
    <w:rsid w:val="00DE00D3"/>
    <w:rsid w:val="00DE0D77"/>
    <w:rsid w:val="00DE0F97"/>
    <w:rsid w:val="00DE1FA0"/>
    <w:rsid w:val="00DE6181"/>
    <w:rsid w:val="00DE7EBF"/>
    <w:rsid w:val="00DF4127"/>
    <w:rsid w:val="00DF6A8E"/>
    <w:rsid w:val="00E14681"/>
    <w:rsid w:val="00E16A18"/>
    <w:rsid w:val="00E20931"/>
    <w:rsid w:val="00E2304F"/>
    <w:rsid w:val="00E24D2E"/>
    <w:rsid w:val="00E256E2"/>
    <w:rsid w:val="00E259D1"/>
    <w:rsid w:val="00E27644"/>
    <w:rsid w:val="00E27BAA"/>
    <w:rsid w:val="00E31097"/>
    <w:rsid w:val="00E32610"/>
    <w:rsid w:val="00E32649"/>
    <w:rsid w:val="00E328C8"/>
    <w:rsid w:val="00E32F7C"/>
    <w:rsid w:val="00E35732"/>
    <w:rsid w:val="00E35B47"/>
    <w:rsid w:val="00E372CB"/>
    <w:rsid w:val="00E4034B"/>
    <w:rsid w:val="00E43918"/>
    <w:rsid w:val="00E44D6F"/>
    <w:rsid w:val="00E46DBB"/>
    <w:rsid w:val="00E5325B"/>
    <w:rsid w:val="00E53C71"/>
    <w:rsid w:val="00E57596"/>
    <w:rsid w:val="00E57650"/>
    <w:rsid w:val="00E60D98"/>
    <w:rsid w:val="00E64FF3"/>
    <w:rsid w:val="00E65A0E"/>
    <w:rsid w:val="00E66956"/>
    <w:rsid w:val="00E72D4D"/>
    <w:rsid w:val="00E807A7"/>
    <w:rsid w:val="00E80C92"/>
    <w:rsid w:val="00E81C67"/>
    <w:rsid w:val="00E91CC4"/>
    <w:rsid w:val="00E9783D"/>
    <w:rsid w:val="00EA2116"/>
    <w:rsid w:val="00EA2766"/>
    <w:rsid w:val="00EA74DA"/>
    <w:rsid w:val="00EB110E"/>
    <w:rsid w:val="00EB555A"/>
    <w:rsid w:val="00EB605C"/>
    <w:rsid w:val="00EB6EA2"/>
    <w:rsid w:val="00EC1F6F"/>
    <w:rsid w:val="00EC2605"/>
    <w:rsid w:val="00EC291F"/>
    <w:rsid w:val="00EC641A"/>
    <w:rsid w:val="00EC7396"/>
    <w:rsid w:val="00ED73C7"/>
    <w:rsid w:val="00EE3D2E"/>
    <w:rsid w:val="00EE5C51"/>
    <w:rsid w:val="00EE6838"/>
    <w:rsid w:val="00EE693E"/>
    <w:rsid w:val="00EF11C9"/>
    <w:rsid w:val="00EF224F"/>
    <w:rsid w:val="00EF4B02"/>
    <w:rsid w:val="00EF5747"/>
    <w:rsid w:val="00F0032E"/>
    <w:rsid w:val="00F00632"/>
    <w:rsid w:val="00F007A7"/>
    <w:rsid w:val="00F01C30"/>
    <w:rsid w:val="00F023DD"/>
    <w:rsid w:val="00F036DE"/>
    <w:rsid w:val="00F06872"/>
    <w:rsid w:val="00F068A0"/>
    <w:rsid w:val="00F07F16"/>
    <w:rsid w:val="00F1182A"/>
    <w:rsid w:val="00F11F87"/>
    <w:rsid w:val="00F12C31"/>
    <w:rsid w:val="00F1379B"/>
    <w:rsid w:val="00F15704"/>
    <w:rsid w:val="00F15B1B"/>
    <w:rsid w:val="00F1667E"/>
    <w:rsid w:val="00F16EEB"/>
    <w:rsid w:val="00F22CEF"/>
    <w:rsid w:val="00F258E1"/>
    <w:rsid w:val="00F27054"/>
    <w:rsid w:val="00F30F79"/>
    <w:rsid w:val="00F4002E"/>
    <w:rsid w:val="00F40940"/>
    <w:rsid w:val="00F4391A"/>
    <w:rsid w:val="00F44220"/>
    <w:rsid w:val="00F45E38"/>
    <w:rsid w:val="00F45F37"/>
    <w:rsid w:val="00F53644"/>
    <w:rsid w:val="00F54CBF"/>
    <w:rsid w:val="00F5638A"/>
    <w:rsid w:val="00F608C6"/>
    <w:rsid w:val="00F62853"/>
    <w:rsid w:val="00F6339C"/>
    <w:rsid w:val="00F66BF6"/>
    <w:rsid w:val="00F67B8F"/>
    <w:rsid w:val="00F71888"/>
    <w:rsid w:val="00F726F1"/>
    <w:rsid w:val="00F835FD"/>
    <w:rsid w:val="00F93D3F"/>
    <w:rsid w:val="00F952F3"/>
    <w:rsid w:val="00F969FD"/>
    <w:rsid w:val="00FA2420"/>
    <w:rsid w:val="00FA31CE"/>
    <w:rsid w:val="00FA418F"/>
    <w:rsid w:val="00FA5C8A"/>
    <w:rsid w:val="00FB5FD8"/>
    <w:rsid w:val="00FB6C87"/>
    <w:rsid w:val="00FC0234"/>
    <w:rsid w:val="00FC06AB"/>
    <w:rsid w:val="00FD34B6"/>
    <w:rsid w:val="00FD7BFE"/>
    <w:rsid w:val="00FE2791"/>
    <w:rsid w:val="00FE4D0C"/>
    <w:rsid w:val="00FE7B2D"/>
    <w:rsid w:val="00FE7CDC"/>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B33DBD4"/>
  <w14:defaultImageDpi w14:val="32767"/>
  <w15:docId w15:val="{C93EE193-2BE5-40A5-ACAC-8AB570C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901"/>
    <w:pPr>
      <w:tabs>
        <w:tab w:val="center" w:pos="4513"/>
        <w:tab w:val="right" w:pos="9026"/>
      </w:tabs>
    </w:pPr>
  </w:style>
  <w:style w:type="character" w:customStyle="1" w:styleId="HeaderChar">
    <w:name w:val="Header Char"/>
    <w:basedOn w:val="DefaultParagraphFont"/>
    <w:link w:val="Header"/>
    <w:uiPriority w:val="99"/>
    <w:rsid w:val="00562901"/>
  </w:style>
  <w:style w:type="paragraph" w:styleId="Footer">
    <w:name w:val="footer"/>
    <w:basedOn w:val="Normal"/>
    <w:link w:val="FooterChar"/>
    <w:uiPriority w:val="99"/>
    <w:unhideWhenUsed/>
    <w:rsid w:val="00562901"/>
    <w:pPr>
      <w:tabs>
        <w:tab w:val="center" w:pos="4513"/>
        <w:tab w:val="right" w:pos="9026"/>
      </w:tabs>
    </w:pPr>
  </w:style>
  <w:style w:type="character" w:customStyle="1" w:styleId="FooterChar">
    <w:name w:val="Footer Char"/>
    <w:basedOn w:val="DefaultParagraphFont"/>
    <w:link w:val="Footer"/>
    <w:uiPriority w:val="99"/>
    <w:rsid w:val="00562901"/>
  </w:style>
  <w:style w:type="paragraph" w:styleId="FootnoteText">
    <w:name w:val="footnote text"/>
    <w:basedOn w:val="Normal"/>
    <w:link w:val="FootnoteTextChar"/>
    <w:uiPriority w:val="99"/>
    <w:unhideWhenUsed/>
    <w:rsid w:val="00A93CAE"/>
  </w:style>
  <w:style w:type="character" w:customStyle="1" w:styleId="FootnoteTextChar">
    <w:name w:val="Footnote Text Char"/>
    <w:basedOn w:val="DefaultParagraphFont"/>
    <w:link w:val="FootnoteText"/>
    <w:uiPriority w:val="99"/>
    <w:rsid w:val="00A93CAE"/>
  </w:style>
  <w:style w:type="character" w:styleId="FootnoteReference">
    <w:name w:val="footnote reference"/>
    <w:basedOn w:val="DefaultParagraphFont"/>
    <w:uiPriority w:val="99"/>
    <w:unhideWhenUsed/>
    <w:rsid w:val="00A93CAE"/>
    <w:rPr>
      <w:vertAlign w:val="superscript"/>
    </w:rPr>
  </w:style>
  <w:style w:type="paragraph" w:styleId="ListParagraph">
    <w:name w:val="List Paragraph"/>
    <w:basedOn w:val="Normal"/>
    <w:uiPriority w:val="34"/>
    <w:qFormat/>
    <w:rsid w:val="00A1492B"/>
    <w:pPr>
      <w:ind w:left="720"/>
      <w:contextualSpacing/>
    </w:pPr>
  </w:style>
  <w:style w:type="paragraph" w:styleId="BalloonText">
    <w:name w:val="Balloon Text"/>
    <w:basedOn w:val="Normal"/>
    <w:link w:val="BalloonTextChar"/>
    <w:uiPriority w:val="99"/>
    <w:semiHidden/>
    <w:unhideWhenUsed/>
    <w:rsid w:val="00D76996"/>
    <w:rPr>
      <w:rFonts w:ascii="Tahoma" w:hAnsi="Tahoma" w:cs="Tahoma"/>
      <w:sz w:val="16"/>
      <w:szCs w:val="16"/>
    </w:rPr>
  </w:style>
  <w:style w:type="character" w:customStyle="1" w:styleId="BalloonTextChar">
    <w:name w:val="Balloon Text Char"/>
    <w:basedOn w:val="DefaultParagraphFont"/>
    <w:link w:val="BalloonText"/>
    <w:uiPriority w:val="99"/>
    <w:semiHidden/>
    <w:rsid w:val="00D76996"/>
    <w:rPr>
      <w:rFonts w:ascii="Tahoma" w:hAnsi="Tahoma" w:cs="Tahoma"/>
      <w:sz w:val="16"/>
      <w:szCs w:val="16"/>
    </w:rPr>
  </w:style>
  <w:style w:type="character" w:styleId="Hyperlink">
    <w:name w:val="Hyperlink"/>
    <w:basedOn w:val="DefaultParagraphFont"/>
    <w:uiPriority w:val="99"/>
    <w:unhideWhenUsed/>
    <w:rsid w:val="009E0E3D"/>
    <w:rPr>
      <w:color w:val="0563C1" w:themeColor="hyperlink"/>
      <w:u w:val="single"/>
    </w:rPr>
  </w:style>
  <w:style w:type="character" w:customStyle="1" w:styleId="flagicon">
    <w:name w:val="flagicon"/>
    <w:basedOn w:val="DefaultParagraphFont"/>
    <w:rsid w:val="00C605ED"/>
  </w:style>
  <w:style w:type="character" w:customStyle="1" w:styleId="nowrap">
    <w:name w:val="nowrap"/>
    <w:basedOn w:val="DefaultParagraphFont"/>
    <w:rsid w:val="00C605ED"/>
  </w:style>
  <w:style w:type="paragraph" w:styleId="NoSpacing">
    <w:name w:val="No Spacing"/>
    <w:uiPriority w:val="1"/>
    <w:qFormat/>
    <w:rsid w:val="00AB000E"/>
  </w:style>
  <w:style w:type="character" w:styleId="UnresolvedMention">
    <w:name w:val="Unresolved Mention"/>
    <w:basedOn w:val="DefaultParagraphFont"/>
    <w:uiPriority w:val="99"/>
    <w:semiHidden/>
    <w:unhideWhenUsed/>
    <w:rsid w:val="00774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26">
      <w:bodyDiv w:val="1"/>
      <w:marLeft w:val="0"/>
      <w:marRight w:val="0"/>
      <w:marTop w:val="0"/>
      <w:marBottom w:val="0"/>
      <w:divBdr>
        <w:top w:val="none" w:sz="0" w:space="0" w:color="auto"/>
        <w:left w:val="none" w:sz="0" w:space="0" w:color="auto"/>
        <w:bottom w:val="none" w:sz="0" w:space="0" w:color="auto"/>
        <w:right w:val="none" w:sz="0" w:space="0" w:color="auto"/>
      </w:divBdr>
    </w:div>
    <w:div w:id="44377936">
      <w:bodyDiv w:val="1"/>
      <w:marLeft w:val="0"/>
      <w:marRight w:val="0"/>
      <w:marTop w:val="0"/>
      <w:marBottom w:val="0"/>
      <w:divBdr>
        <w:top w:val="none" w:sz="0" w:space="0" w:color="auto"/>
        <w:left w:val="none" w:sz="0" w:space="0" w:color="auto"/>
        <w:bottom w:val="none" w:sz="0" w:space="0" w:color="auto"/>
        <w:right w:val="none" w:sz="0" w:space="0" w:color="auto"/>
      </w:divBdr>
    </w:div>
    <w:div w:id="127627172">
      <w:bodyDiv w:val="1"/>
      <w:marLeft w:val="0"/>
      <w:marRight w:val="0"/>
      <w:marTop w:val="0"/>
      <w:marBottom w:val="0"/>
      <w:divBdr>
        <w:top w:val="none" w:sz="0" w:space="0" w:color="auto"/>
        <w:left w:val="none" w:sz="0" w:space="0" w:color="auto"/>
        <w:bottom w:val="none" w:sz="0" w:space="0" w:color="auto"/>
        <w:right w:val="none" w:sz="0" w:space="0" w:color="auto"/>
      </w:divBdr>
    </w:div>
    <w:div w:id="234360189">
      <w:bodyDiv w:val="1"/>
      <w:marLeft w:val="0"/>
      <w:marRight w:val="0"/>
      <w:marTop w:val="0"/>
      <w:marBottom w:val="0"/>
      <w:divBdr>
        <w:top w:val="none" w:sz="0" w:space="0" w:color="auto"/>
        <w:left w:val="none" w:sz="0" w:space="0" w:color="auto"/>
        <w:bottom w:val="none" w:sz="0" w:space="0" w:color="auto"/>
        <w:right w:val="none" w:sz="0" w:space="0" w:color="auto"/>
      </w:divBdr>
    </w:div>
    <w:div w:id="309747068">
      <w:bodyDiv w:val="1"/>
      <w:marLeft w:val="0"/>
      <w:marRight w:val="0"/>
      <w:marTop w:val="0"/>
      <w:marBottom w:val="0"/>
      <w:divBdr>
        <w:top w:val="none" w:sz="0" w:space="0" w:color="auto"/>
        <w:left w:val="none" w:sz="0" w:space="0" w:color="auto"/>
        <w:bottom w:val="none" w:sz="0" w:space="0" w:color="auto"/>
        <w:right w:val="none" w:sz="0" w:space="0" w:color="auto"/>
      </w:divBdr>
    </w:div>
    <w:div w:id="407272464">
      <w:bodyDiv w:val="1"/>
      <w:marLeft w:val="0"/>
      <w:marRight w:val="0"/>
      <w:marTop w:val="0"/>
      <w:marBottom w:val="0"/>
      <w:divBdr>
        <w:top w:val="none" w:sz="0" w:space="0" w:color="auto"/>
        <w:left w:val="none" w:sz="0" w:space="0" w:color="auto"/>
        <w:bottom w:val="none" w:sz="0" w:space="0" w:color="auto"/>
        <w:right w:val="none" w:sz="0" w:space="0" w:color="auto"/>
      </w:divBdr>
    </w:div>
    <w:div w:id="419713364">
      <w:bodyDiv w:val="1"/>
      <w:marLeft w:val="0"/>
      <w:marRight w:val="0"/>
      <w:marTop w:val="0"/>
      <w:marBottom w:val="0"/>
      <w:divBdr>
        <w:top w:val="none" w:sz="0" w:space="0" w:color="auto"/>
        <w:left w:val="none" w:sz="0" w:space="0" w:color="auto"/>
        <w:bottom w:val="none" w:sz="0" w:space="0" w:color="auto"/>
        <w:right w:val="none" w:sz="0" w:space="0" w:color="auto"/>
      </w:divBdr>
    </w:div>
    <w:div w:id="466243168">
      <w:bodyDiv w:val="1"/>
      <w:marLeft w:val="0"/>
      <w:marRight w:val="0"/>
      <w:marTop w:val="0"/>
      <w:marBottom w:val="0"/>
      <w:divBdr>
        <w:top w:val="none" w:sz="0" w:space="0" w:color="auto"/>
        <w:left w:val="none" w:sz="0" w:space="0" w:color="auto"/>
        <w:bottom w:val="none" w:sz="0" w:space="0" w:color="auto"/>
        <w:right w:val="none" w:sz="0" w:space="0" w:color="auto"/>
      </w:divBdr>
    </w:div>
    <w:div w:id="539435420">
      <w:bodyDiv w:val="1"/>
      <w:marLeft w:val="0"/>
      <w:marRight w:val="0"/>
      <w:marTop w:val="0"/>
      <w:marBottom w:val="0"/>
      <w:divBdr>
        <w:top w:val="none" w:sz="0" w:space="0" w:color="auto"/>
        <w:left w:val="none" w:sz="0" w:space="0" w:color="auto"/>
        <w:bottom w:val="none" w:sz="0" w:space="0" w:color="auto"/>
        <w:right w:val="none" w:sz="0" w:space="0" w:color="auto"/>
      </w:divBdr>
      <w:divsChild>
        <w:div w:id="80370004">
          <w:marLeft w:val="0"/>
          <w:marRight w:val="0"/>
          <w:marTop w:val="0"/>
          <w:marBottom w:val="0"/>
          <w:divBdr>
            <w:top w:val="none" w:sz="0" w:space="0" w:color="auto"/>
            <w:left w:val="none" w:sz="0" w:space="0" w:color="auto"/>
            <w:bottom w:val="none" w:sz="0" w:space="0" w:color="auto"/>
            <w:right w:val="none" w:sz="0" w:space="0" w:color="auto"/>
          </w:divBdr>
        </w:div>
        <w:div w:id="2099666515">
          <w:marLeft w:val="336"/>
          <w:marRight w:val="0"/>
          <w:marTop w:val="120"/>
          <w:marBottom w:val="312"/>
          <w:divBdr>
            <w:top w:val="none" w:sz="0" w:space="0" w:color="auto"/>
            <w:left w:val="none" w:sz="0" w:space="0" w:color="auto"/>
            <w:bottom w:val="none" w:sz="0" w:space="0" w:color="auto"/>
            <w:right w:val="none" w:sz="0" w:space="0" w:color="auto"/>
          </w:divBdr>
          <w:divsChild>
            <w:div w:id="384107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387131">
          <w:marLeft w:val="336"/>
          <w:marRight w:val="0"/>
          <w:marTop w:val="120"/>
          <w:marBottom w:val="312"/>
          <w:divBdr>
            <w:top w:val="none" w:sz="0" w:space="0" w:color="auto"/>
            <w:left w:val="none" w:sz="0" w:space="0" w:color="auto"/>
            <w:bottom w:val="none" w:sz="0" w:space="0" w:color="auto"/>
            <w:right w:val="none" w:sz="0" w:space="0" w:color="auto"/>
          </w:divBdr>
          <w:divsChild>
            <w:div w:id="12261429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3315">
          <w:marLeft w:val="0"/>
          <w:marRight w:val="0"/>
          <w:marTop w:val="0"/>
          <w:marBottom w:val="120"/>
          <w:divBdr>
            <w:top w:val="none" w:sz="0" w:space="0" w:color="auto"/>
            <w:left w:val="none" w:sz="0" w:space="0" w:color="auto"/>
            <w:bottom w:val="none" w:sz="0" w:space="0" w:color="auto"/>
            <w:right w:val="none" w:sz="0" w:space="0" w:color="auto"/>
          </w:divBdr>
        </w:div>
      </w:divsChild>
    </w:div>
    <w:div w:id="751003468">
      <w:bodyDiv w:val="1"/>
      <w:marLeft w:val="0"/>
      <w:marRight w:val="0"/>
      <w:marTop w:val="0"/>
      <w:marBottom w:val="0"/>
      <w:divBdr>
        <w:top w:val="none" w:sz="0" w:space="0" w:color="auto"/>
        <w:left w:val="none" w:sz="0" w:space="0" w:color="auto"/>
        <w:bottom w:val="none" w:sz="0" w:space="0" w:color="auto"/>
        <w:right w:val="none" w:sz="0" w:space="0" w:color="auto"/>
      </w:divBdr>
    </w:div>
    <w:div w:id="890070882">
      <w:bodyDiv w:val="1"/>
      <w:marLeft w:val="0"/>
      <w:marRight w:val="0"/>
      <w:marTop w:val="0"/>
      <w:marBottom w:val="0"/>
      <w:divBdr>
        <w:top w:val="none" w:sz="0" w:space="0" w:color="auto"/>
        <w:left w:val="none" w:sz="0" w:space="0" w:color="auto"/>
        <w:bottom w:val="none" w:sz="0" w:space="0" w:color="auto"/>
        <w:right w:val="none" w:sz="0" w:space="0" w:color="auto"/>
      </w:divBdr>
      <w:divsChild>
        <w:div w:id="481582472">
          <w:marLeft w:val="0"/>
          <w:marRight w:val="0"/>
          <w:marTop w:val="0"/>
          <w:marBottom w:val="0"/>
          <w:divBdr>
            <w:top w:val="none" w:sz="0" w:space="0" w:color="auto"/>
            <w:left w:val="none" w:sz="0" w:space="0" w:color="auto"/>
            <w:bottom w:val="none" w:sz="0" w:space="0" w:color="auto"/>
            <w:right w:val="none" w:sz="0" w:space="0" w:color="auto"/>
          </w:divBdr>
        </w:div>
        <w:div w:id="1297419082">
          <w:marLeft w:val="0"/>
          <w:marRight w:val="0"/>
          <w:marTop w:val="0"/>
          <w:marBottom w:val="0"/>
          <w:divBdr>
            <w:top w:val="none" w:sz="0" w:space="0" w:color="auto"/>
            <w:left w:val="none" w:sz="0" w:space="0" w:color="auto"/>
            <w:bottom w:val="none" w:sz="0" w:space="0" w:color="auto"/>
            <w:right w:val="none" w:sz="0" w:space="0" w:color="auto"/>
          </w:divBdr>
        </w:div>
        <w:div w:id="663707820">
          <w:marLeft w:val="0"/>
          <w:marRight w:val="0"/>
          <w:marTop w:val="0"/>
          <w:marBottom w:val="0"/>
          <w:divBdr>
            <w:top w:val="none" w:sz="0" w:space="0" w:color="auto"/>
            <w:left w:val="none" w:sz="0" w:space="0" w:color="auto"/>
            <w:bottom w:val="none" w:sz="0" w:space="0" w:color="auto"/>
            <w:right w:val="none" w:sz="0" w:space="0" w:color="auto"/>
          </w:divBdr>
        </w:div>
        <w:div w:id="1174612318">
          <w:marLeft w:val="0"/>
          <w:marRight w:val="0"/>
          <w:marTop w:val="0"/>
          <w:marBottom w:val="0"/>
          <w:divBdr>
            <w:top w:val="none" w:sz="0" w:space="0" w:color="auto"/>
            <w:left w:val="none" w:sz="0" w:space="0" w:color="auto"/>
            <w:bottom w:val="none" w:sz="0" w:space="0" w:color="auto"/>
            <w:right w:val="none" w:sz="0" w:space="0" w:color="auto"/>
          </w:divBdr>
        </w:div>
        <w:div w:id="26495719">
          <w:marLeft w:val="0"/>
          <w:marRight w:val="0"/>
          <w:marTop w:val="0"/>
          <w:marBottom w:val="0"/>
          <w:divBdr>
            <w:top w:val="none" w:sz="0" w:space="0" w:color="auto"/>
            <w:left w:val="none" w:sz="0" w:space="0" w:color="auto"/>
            <w:bottom w:val="none" w:sz="0" w:space="0" w:color="auto"/>
            <w:right w:val="none" w:sz="0" w:space="0" w:color="auto"/>
          </w:divBdr>
        </w:div>
        <w:div w:id="515923342">
          <w:marLeft w:val="0"/>
          <w:marRight w:val="0"/>
          <w:marTop w:val="0"/>
          <w:marBottom w:val="0"/>
          <w:divBdr>
            <w:top w:val="none" w:sz="0" w:space="0" w:color="auto"/>
            <w:left w:val="none" w:sz="0" w:space="0" w:color="auto"/>
            <w:bottom w:val="none" w:sz="0" w:space="0" w:color="auto"/>
            <w:right w:val="none" w:sz="0" w:space="0" w:color="auto"/>
          </w:divBdr>
        </w:div>
      </w:divsChild>
    </w:div>
    <w:div w:id="1128205907">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79335539">
      <w:bodyDiv w:val="1"/>
      <w:marLeft w:val="0"/>
      <w:marRight w:val="0"/>
      <w:marTop w:val="0"/>
      <w:marBottom w:val="0"/>
      <w:divBdr>
        <w:top w:val="none" w:sz="0" w:space="0" w:color="auto"/>
        <w:left w:val="none" w:sz="0" w:space="0" w:color="auto"/>
        <w:bottom w:val="none" w:sz="0" w:space="0" w:color="auto"/>
        <w:right w:val="none" w:sz="0" w:space="0" w:color="auto"/>
      </w:divBdr>
    </w:div>
    <w:div w:id="1316032003">
      <w:bodyDiv w:val="1"/>
      <w:marLeft w:val="0"/>
      <w:marRight w:val="0"/>
      <w:marTop w:val="0"/>
      <w:marBottom w:val="0"/>
      <w:divBdr>
        <w:top w:val="none" w:sz="0" w:space="0" w:color="auto"/>
        <w:left w:val="none" w:sz="0" w:space="0" w:color="auto"/>
        <w:bottom w:val="none" w:sz="0" w:space="0" w:color="auto"/>
        <w:right w:val="none" w:sz="0" w:space="0" w:color="auto"/>
      </w:divBdr>
      <w:divsChild>
        <w:div w:id="1396783242">
          <w:marLeft w:val="0"/>
          <w:marRight w:val="0"/>
          <w:marTop w:val="0"/>
          <w:marBottom w:val="0"/>
          <w:divBdr>
            <w:top w:val="none" w:sz="0" w:space="0" w:color="auto"/>
            <w:left w:val="none" w:sz="0" w:space="0" w:color="auto"/>
            <w:bottom w:val="none" w:sz="0" w:space="0" w:color="auto"/>
            <w:right w:val="none" w:sz="0" w:space="0" w:color="auto"/>
          </w:divBdr>
        </w:div>
        <w:div w:id="604271465">
          <w:marLeft w:val="0"/>
          <w:marRight w:val="0"/>
          <w:marTop w:val="0"/>
          <w:marBottom w:val="0"/>
          <w:divBdr>
            <w:top w:val="none" w:sz="0" w:space="0" w:color="auto"/>
            <w:left w:val="none" w:sz="0" w:space="0" w:color="auto"/>
            <w:bottom w:val="none" w:sz="0" w:space="0" w:color="auto"/>
            <w:right w:val="none" w:sz="0" w:space="0" w:color="auto"/>
          </w:divBdr>
        </w:div>
        <w:div w:id="883565749">
          <w:marLeft w:val="0"/>
          <w:marRight w:val="0"/>
          <w:marTop w:val="0"/>
          <w:marBottom w:val="0"/>
          <w:divBdr>
            <w:top w:val="none" w:sz="0" w:space="0" w:color="auto"/>
            <w:left w:val="none" w:sz="0" w:space="0" w:color="auto"/>
            <w:bottom w:val="none" w:sz="0" w:space="0" w:color="auto"/>
            <w:right w:val="none" w:sz="0" w:space="0" w:color="auto"/>
          </w:divBdr>
        </w:div>
        <w:div w:id="1137452451">
          <w:marLeft w:val="0"/>
          <w:marRight w:val="0"/>
          <w:marTop w:val="0"/>
          <w:marBottom w:val="0"/>
          <w:divBdr>
            <w:top w:val="none" w:sz="0" w:space="0" w:color="auto"/>
            <w:left w:val="none" w:sz="0" w:space="0" w:color="auto"/>
            <w:bottom w:val="none" w:sz="0" w:space="0" w:color="auto"/>
            <w:right w:val="none" w:sz="0" w:space="0" w:color="auto"/>
          </w:divBdr>
        </w:div>
        <w:div w:id="2090082048">
          <w:marLeft w:val="0"/>
          <w:marRight w:val="0"/>
          <w:marTop w:val="0"/>
          <w:marBottom w:val="0"/>
          <w:divBdr>
            <w:top w:val="none" w:sz="0" w:space="0" w:color="auto"/>
            <w:left w:val="none" w:sz="0" w:space="0" w:color="auto"/>
            <w:bottom w:val="none" w:sz="0" w:space="0" w:color="auto"/>
            <w:right w:val="none" w:sz="0" w:space="0" w:color="auto"/>
          </w:divBdr>
        </w:div>
        <w:div w:id="1260140024">
          <w:marLeft w:val="0"/>
          <w:marRight w:val="0"/>
          <w:marTop w:val="0"/>
          <w:marBottom w:val="0"/>
          <w:divBdr>
            <w:top w:val="none" w:sz="0" w:space="0" w:color="auto"/>
            <w:left w:val="none" w:sz="0" w:space="0" w:color="auto"/>
            <w:bottom w:val="none" w:sz="0" w:space="0" w:color="auto"/>
            <w:right w:val="none" w:sz="0" w:space="0" w:color="auto"/>
          </w:divBdr>
        </w:div>
        <w:div w:id="1984045004">
          <w:marLeft w:val="0"/>
          <w:marRight w:val="0"/>
          <w:marTop w:val="0"/>
          <w:marBottom w:val="0"/>
          <w:divBdr>
            <w:top w:val="none" w:sz="0" w:space="0" w:color="auto"/>
            <w:left w:val="none" w:sz="0" w:space="0" w:color="auto"/>
            <w:bottom w:val="none" w:sz="0" w:space="0" w:color="auto"/>
            <w:right w:val="none" w:sz="0" w:space="0" w:color="auto"/>
          </w:divBdr>
        </w:div>
        <w:div w:id="1548252525">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532499350">
          <w:marLeft w:val="0"/>
          <w:marRight w:val="0"/>
          <w:marTop w:val="0"/>
          <w:marBottom w:val="0"/>
          <w:divBdr>
            <w:top w:val="none" w:sz="0" w:space="0" w:color="auto"/>
            <w:left w:val="none" w:sz="0" w:space="0" w:color="auto"/>
            <w:bottom w:val="none" w:sz="0" w:space="0" w:color="auto"/>
            <w:right w:val="none" w:sz="0" w:space="0" w:color="auto"/>
          </w:divBdr>
        </w:div>
        <w:div w:id="844174000">
          <w:marLeft w:val="0"/>
          <w:marRight w:val="0"/>
          <w:marTop w:val="0"/>
          <w:marBottom w:val="0"/>
          <w:divBdr>
            <w:top w:val="none" w:sz="0" w:space="0" w:color="auto"/>
            <w:left w:val="none" w:sz="0" w:space="0" w:color="auto"/>
            <w:bottom w:val="none" w:sz="0" w:space="0" w:color="auto"/>
            <w:right w:val="none" w:sz="0" w:space="0" w:color="auto"/>
          </w:divBdr>
        </w:div>
        <w:div w:id="2144690831">
          <w:marLeft w:val="0"/>
          <w:marRight w:val="0"/>
          <w:marTop w:val="0"/>
          <w:marBottom w:val="0"/>
          <w:divBdr>
            <w:top w:val="none" w:sz="0" w:space="0" w:color="auto"/>
            <w:left w:val="none" w:sz="0" w:space="0" w:color="auto"/>
            <w:bottom w:val="none" w:sz="0" w:space="0" w:color="auto"/>
            <w:right w:val="none" w:sz="0" w:space="0" w:color="auto"/>
          </w:divBdr>
        </w:div>
        <w:div w:id="1057824163">
          <w:marLeft w:val="0"/>
          <w:marRight w:val="0"/>
          <w:marTop w:val="0"/>
          <w:marBottom w:val="0"/>
          <w:divBdr>
            <w:top w:val="none" w:sz="0" w:space="0" w:color="auto"/>
            <w:left w:val="none" w:sz="0" w:space="0" w:color="auto"/>
            <w:bottom w:val="none" w:sz="0" w:space="0" w:color="auto"/>
            <w:right w:val="none" w:sz="0" w:space="0" w:color="auto"/>
          </w:divBdr>
        </w:div>
        <w:div w:id="432555862">
          <w:marLeft w:val="0"/>
          <w:marRight w:val="0"/>
          <w:marTop w:val="0"/>
          <w:marBottom w:val="0"/>
          <w:divBdr>
            <w:top w:val="none" w:sz="0" w:space="0" w:color="auto"/>
            <w:left w:val="none" w:sz="0" w:space="0" w:color="auto"/>
            <w:bottom w:val="none" w:sz="0" w:space="0" w:color="auto"/>
            <w:right w:val="none" w:sz="0" w:space="0" w:color="auto"/>
          </w:divBdr>
        </w:div>
        <w:div w:id="1432355335">
          <w:marLeft w:val="0"/>
          <w:marRight w:val="0"/>
          <w:marTop w:val="0"/>
          <w:marBottom w:val="0"/>
          <w:divBdr>
            <w:top w:val="none" w:sz="0" w:space="0" w:color="auto"/>
            <w:left w:val="none" w:sz="0" w:space="0" w:color="auto"/>
            <w:bottom w:val="none" w:sz="0" w:space="0" w:color="auto"/>
            <w:right w:val="none" w:sz="0" w:space="0" w:color="auto"/>
          </w:divBdr>
        </w:div>
        <w:div w:id="1013218067">
          <w:marLeft w:val="0"/>
          <w:marRight w:val="0"/>
          <w:marTop w:val="0"/>
          <w:marBottom w:val="0"/>
          <w:divBdr>
            <w:top w:val="none" w:sz="0" w:space="0" w:color="auto"/>
            <w:left w:val="none" w:sz="0" w:space="0" w:color="auto"/>
            <w:bottom w:val="none" w:sz="0" w:space="0" w:color="auto"/>
            <w:right w:val="none" w:sz="0" w:space="0" w:color="auto"/>
          </w:divBdr>
        </w:div>
        <w:div w:id="699815162">
          <w:marLeft w:val="0"/>
          <w:marRight w:val="0"/>
          <w:marTop w:val="0"/>
          <w:marBottom w:val="0"/>
          <w:divBdr>
            <w:top w:val="none" w:sz="0" w:space="0" w:color="auto"/>
            <w:left w:val="none" w:sz="0" w:space="0" w:color="auto"/>
            <w:bottom w:val="none" w:sz="0" w:space="0" w:color="auto"/>
            <w:right w:val="none" w:sz="0" w:space="0" w:color="auto"/>
          </w:divBdr>
        </w:div>
        <w:div w:id="753207305">
          <w:marLeft w:val="0"/>
          <w:marRight w:val="0"/>
          <w:marTop w:val="0"/>
          <w:marBottom w:val="0"/>
          <w:divBdr>
            <w:top w:val="none" w:sz="0" w:space="0" w:color="auto"/>
            <w:left w:val="none" w:sz="0" w:space="0" w:color="auto"/>
            <w:bottom w:val="none" w:sz="0" w:space="0" w:color="auto"/>
            <w:right w:val="none" w:sz="0" w:space="0" w:color="auto"/>
          </w:divBdr>
        </w:div>
        <w:div w:id="1092629020">
          <w:marLeft w:val="0"/>
          <w:marRight w:val="0"/>
          <w:marTop w:val="0"/>
          <w:marBottom w:val="0"/>
          <w:divBdr>
            <w:top w:val="none" w:sz="0" w:space="0" w:color="auto"/>
            <w:left w:val="none" w:sz="0" w:space="0" w:color="auto"/>
            <w:bottom w:val="none" w:sz="0" w:space="0" w:color="auto"/>
            <w:right w:val="none" w:sz="0" w:space="0" w:color="auto"/>
          </w:divBdr>
        </w:div>
        <w:div w:id="1857421558">
          <w:marLeft w:val="0"/>
          <w:marRight w:val="0"/>
          <w:marTop w:val="0"/>
          <w:marBottom w:val="0"/>
          <w:divBdr>
            <w:top w:val="none" w:sz="0" w:space="0" w:color="auto"/>
            <w:left w:val="none" w:sz="0" w:space="0" w:color="auto"/>
            <w:bottom w:val="none" w:sz="0" w:space="0" w:color="auto"/>
            <w:right w:val="none" w:sz="0" w:space="0" w:color="auto"/>
          </w:divBdr>
        </w:div>
        <w:div w:id="1570651487">
          <w:marLeft w:val="0"/>
          <w:marRight w:val="0"/>
          <w:marTop w:val="0"/>
          <w:marBottom w:val="0"/>
          <w:divBdr>
            <w:top w:val="none" w:sz="0" w:space="0" w:color="auto"/>
            <w:left w:val="none" w:sz="0" w:space="0" w:color="auto"/>
            <w:bottom w:val="none" w:sz="0" w:space="0" w:color="auto"/>
            <w:right w:val="none" w:sz="0" w:space="0" w:color="auto"/>
          </w:divBdr>
        </w:div>
        <w:div w:id="2118674030">
          <w:marLeft w:val="0"/>
          <w:marRight w:val="0"/>
          <w:marTop w:val="0"/>
          <w:marBottom w:val="0"/>
          <w:divBdr>
            <w:top w:val="none" w:sz="0" w:space="0" w:color="auto"/>
            <w:left w:val="none" w:sz="0" w:space="0" w:color="auto"/>
            <w:bottom w:val="none" w:sz="0" w:space="0" w:color="auto"/>
            <w:right w:val="none" w:sz="0" w:space="0" w:color="auto"/>
          </w:divBdr>
        </w:div>
        <w:div w:id="495196047">
          <w:marLeft w:val="0"/>
          <w:marRight w:val="0"/>
          <w:marTop w:val="0"/>
          <w:marBottom w:val="0"/>
          <w:divBdr>
            <w:top w:val="none" w:sz="0" w:space="0" w:color="auto"/>
            <w:left w:val="none" w:sz="0" w:space="0" w:color="auto"/>
            <w:bottom w:val="none" w:sz="0" w:space="0" w:color="auto"/>
            <w:right w:val="none" w:sz="0" w:space="0" w:color="auto"/>
          </w:divBdr>
        </w:div>
        <w:div w:id="1251889673">
          <w:marLeft w:val="0"/>
          <w:marRight w:val="0"/>
          <w:marTop w:val="0"/>
          <w:marBottom w:val="0"/>
          <w:divBdr>
            <w:top w:val="none" w:sz="0" w:space="0" w:color="auto"/>
            <w:left w:val="none" w:sz="0" w:space="0" w:color="auto"/>
            <w:bottom w:val="none" w:sz="0" w:space="0" w:color="auto"/>
            <w:right w:val="none" w:sz="0" w:space="0" w:color="auto"/>
          </w:divBdr>
        </w:div>
        <w:div w:id="1431241072">
          <w:marLeft w:val="0"/>
          <w:marRight w:val="0"/>
          <w:marTop w:val="0"/>
          <w:marBottom w:val="0"/>
          <w:divBdr>
            <w:top w:val="none" w:sz="0" w:space="0" w:color="auto"/>
            <w:left w:val="none" w:sz="0" w:space="0" w:color="auto"/>
            <w:bottom w:val="none" w:sz="0" w:space="0" w:color="auto"/>
            <w:right w:val="none" w:sz="0" w:space="0" w:color="auto"/>
          </w:divBdr>
        </w:div>
        <w:div w:id="461849701">
          <w:marLeft w:val="0"/>
          <w:marRight w:val="0"/>
          <w:marTop w:val="0"/>
          <w:marBottom w:val="0"/>
          <w:divBdr>
            <w:top w:val="none" w:sz="0" w:space="0" w:color="auto"/>
            <w:left w:val="none" w:sz="0" w:space="0" w:color="auto"/>
            <w:bottom w:val="none" w:sz="0" w:space="0" w:color="auto"/>
            <w:right w:val="none" w:sz="0" w:space="0" w:color="auto"/>
          </w:divBdr>
        </w:div>
        <w:div w:id="1770538978">
          <w:marLeft w:val="0"/>
          <w:marRight w:val="0"/>
          <w:marTop w:val="0"/>
          <w:marBottom w:val="0"/>
          <w:divBdr>
            <w:top w:val="none" w:sz="0" w:space="0" w:color="auto"/>
            <w:left w:val="none" w:sz="0" w:space="0" w:color="auto"/>
            <w:bottom w:val="none" w:sz="0" w:space="0" w:color="auto"/>
            <w:right w:val="none" w:sz="0" w:space="0" w:color="auto"/>
          </w:divBdr>
        </w:div>
        <w:div w:id="975335052">
          <w:marLeft w:val="0"/>
          <w:marRight w:val="0"/>
          <w:marTop w:val="0"/>
          <w:marBottom w:val="0"/>
          <w:divBdr>
            <w:top w:val="none" w:sz="0" w:space="0" w:color="auto"/>
            <w:left w:val="none" w:sz="0" w:space="0" w:color="auto"/>
            <w:bottom w:val="none" w:sz="0" w:space="0" w:color="auto"/>
            <w:right w:val="none" w:sz="0" w:space="0" w:color="auto"/>
          </w:divBdr>
        </w:div>
        <w:div w:id="643660528">
          <w:marLeft w:val="0"/>
          <w:marRight w:val="0"/>
          <w:marTop w:val="0"/>
          <w:marBottom w:val="0"/>
          <w:divBdr>
            <w:top w:val="none" w:sz="0" w:space="0" w:color="auto"/>
            <w:left w:val="none" w:sz="0" w:space="0" w:color="auto"/>
            <w:bottom w:val="none" w:sz="0" w:space="0" w:color="auto"/>
            <w:right w:val="none" w:sz="0" w:space="0" w:color="auto"/>
          </w:divBdr>
        </w:div>
        <w:div w:id="1770854479">
          <w:marLeft w:val="0"/>
          <w:marRight w:val="0"/>
          <w:marTop w:val="0"/>
          <w:marBottom w:val="0"/>
          <w:divBdr>
            <w:top w:val="none" w:sz="0" w:space="0" w:color="auto"/>
            <w:left w:val="none" w:sz="0" w:space="0" w:color="auto"/>
            <w:bottom w:val="none" w:sz="0" w:space="0" w:color="auto"/>
            <w:right w:val="none" w:sz="0" w:space="0" w:color="auto"/>
          </w:divBdr>
        </w:div>
        <w:div w:id="319965962">
          <w:marLeft w:val="0"/>
          <w:marRight w:val="0"/>
          <w:marTop w:val="0"/>
          <w:marBottom w:val="0"/>
          <w:divBdr>
            <w:top w:val="none" w:sz="0" w:space="0" w:color="auto"/>
            <w:left w:val="none" w:sz="0" w:space="0" w:color="auto"/>
            <w:bottom w:val="none" w:sz="0" w:space="0" w:color="auto"/>
            <w:right w:val="none" w:sz="0" w:space="0" w:color="auto"/>
          </w:divBdr>
        </w:div>
        <w:div w:id="1412385125">
          <w:marLeft w:val="0"/>
          <w:marRight w:val="0"/>
          <w:marTop w:val="0"/>
          <w:marBottom w:val="0"/>
          <w:divBdr>
            <w:top w:val="none" w:sz="0" w:space="0" w:color="auto"/>
            <w:left w:val="none" w:sz="0" w:space="0" w:color="auto"/>
            <w:bottom w:val="none" w:sz="0" w:space="0" w:color="auto"/>
            <w:right w:val="none" w:sz="0" w:space="0" w:color="auto"/>
          </w:divBdr>
        </w:div>
        <w:div w:id="1301426150">
          <w:marLeft w:val="0"/>
          <w:marRight w:val="0"/>
          <w:marTop w:val="0"/>
          <w:marBottom w:val="0"/>
          <w:divBdr>
            <w:top w:val="none" w:sz="0" w:space="0" w:color="auto"/>
            <w:left w:val="none" w:sz="0" w:space="0" w:color="auto"/>
            <w:bottom w:val="none" w:sz="0" w:space="0" w:color="auto"/>
            <w:right w:val="none" w:sz="0" w:space="0" w:color="auto"/>
          </w:divBdr>
        </w:div>
        <w:div w:id="716441424">
          <w:marLeft w:val="0"/>
          <w:marRight w:val="0"/>
          <w:marTop w:val="0"/>
          <w:marBottom w:val="0"/>
          <w:divBdr>
            <w:top w:val="none" w:sz="0" w:space="0" w:color="auto"/>
            <w:left w:val="none" w:sz="0" w:space="0" w:color="auto"/>
            <w:bottom w:val="none" w:sz="0" w:space="0" w:color="auto"/>
            <w:right w:val="none" w:sz="0" w:space="0" w:color="auto"/>
          </w:divBdr>
        </w:div>
        <w:div w:id="180627208">
          <w:marLeft w:val="0"/>
          <w:marRight w:val="0"/>
          <w:marTop w:val="0"/>
          <w:marBottom w:val="0"/>
          <w:divBdr>
            <w:top w:val="none" w:sz="0" w:space="0" w:color="auto"/>
            <w:left w:val="none" w:sz="0" w:space="0" w:color="auto"/>
            <w:bottom w:val="none" w:sz="0" w:space="0" w:color="auto"/>
            <w:right w:val="none" w:sz="0" w:space="0" w:color="auto"/>
          </w:divBdr>
        </w:div>
        <w:div w:id="1631470958">
          <w:marLeft w:val="0"/>
          <w:marRight w:val="0"/>
          <w:marTop w:val="0"/>
          <w:marBottom w:val="0"/>
          <w:divBdr>
            <w:top w:val="none" w:sz="0" w:space="0" w:color="auto"/>
            <w:left w:val="none" w:sz="0" w:space="0" w:color="auto"/>
            <w:bottom w:val="none" w:sz="0" w:space="0" w:color="auto"/>
            <w:right w:val="none" w:sz="0" w:space="0" w:color="auto"/>
          </w:divBdr>
        </w:div>
        <w:div w:id="952633979">
          <w:marLeft w:val="0"/>
          <w:marRight w:val="0"/>
          <w:marTop w:val="0"/>
          <w:marBottom w:val="0"/>
          <w:divBdr>
            <w:top w:val="none" w:sz="0" w:space="0" w:color="auto"/>
            <w:left w:val="none" w:sz="0" w:space="0" w:color="auto"/>
            <w:bottom w:val="none" w:sz="0" w:space="0" w:color="auto"/>
            <w:right w:val="none" w:sz="0" w:space="0" w:color="auto"/>
          </w:divBdr>
        </w:div>
        <w:div w:id="190264351">
          <w:marLeft w:val="0"/>
          <w:marRight w:val="0"/>
          <w:marTop w:val="0"/>
          <w:marBottom w:val="0"/>
          <w:divBdr>
            <w:top w:val="none" w:sz="0" w:space="0" w:color="auto"/>
            <w:left w:val="none" w:sz="0" w:space="0" w:color="auto"/>
            <w:bottom w:val="none" w:sz="0" w:space="0" w:color="auto"/>
            <w:right w:val="none" w:sz="0" w:space="0" w:color="auto"/>
          </w:divBdr>
        </w:div>
        <w:div w:id="561722269">
          <w:marLeft w:val="0"/>
          <w:marRight w:val="0"/>
          <w:marTop w:val="0"/>
          <w:marBottom w:val="0"/>
          <w:divBdr>
            <w:top w:val="none" w:sz="0" w:space="0" w:color="auto"/>
            <w:left w:val="none" w:sz="0" w:space="0" w:color="auto"/>
            <w:bottom w:val="none" w:sz="0" w:space="0" w:color="auto"/>
            <w:right w:val="none" w:sz="0" w:space="0" w:color="auto"/>
          </w:divBdr>
        </w:div>
        <w:div w:id="731347253">
          <w:marLeft w:val="0"/>
          <w:marRight w:val="0"/>
          <w:marTop w:val="0"/>
          <w:marBottom w:val="0"/>
          <w:divBdr>
            <w:top w:val="none" w:sz="0" w:space="0" w:color="auto"/>
            <w:left w:val="none" w:sz="0" w:space="0" w:color="auto"/>
            <w:bottom w:val="none" w:sz="0" w:space="0" w:color="auto"/>
            <w:right w:val="none" w:sz="0" w:space="0" w:color="auto"/>
          </w:divBdr>
        </w:div>
        <w:div w:id="511993315">
          <w:marLeft w:val="0"/>
          <w:marRight w:val="0"/>
          <w:marTop w:val="0"/>
          <w:marBottom w:val="0"/>
          <w:divBdr>
            <w:top w:val="none" w:sz="0" w:space="0" w:color="auto"/>
            <w:left w:val="none" w:sz="0" w:space="0" w:color="auto"/>
            <w:bottom w:val="none" w:sz="0" w:space="0" w:color="auto"/>
            <w:right w:val="none" w:sz="0" w:space="0" w:color="auto"/>
          </w:divBdr>
        </w:div>
      </w:divsChild>
    </w:div>
    <w:div w:id="1416243381">
      <w:bodyDiv w:val="1"/>
      <w:marLeft w:val="0"/>
      <w:marRight w:val="0"/>
      <w:marTop w:val="0"/>
      <w:marBottom w:val="0"/>
      <w:divBdr>
        <w:top w:val="none" w:sz="0" w:space="0" w:color="auto"/>
        <w:left w:val="none" w:sz="0" w:space="0" w:color="auto"/>
        <w:bottom w:val="none" w:sz="0" w:space="0" w:color="auto"/>
        <w:right w:val="none" w:sz="0" w:space="0" w:color="auto"/>
      </w:divBdr>
    </w:div>
    <w:div w:id="1600942431">
      <w:bodyDiv w:val="1"/>
      <w:marLeft w:val="0"/>
      <w:marRight w:val="0"/>
      <w:marTop w:val="0"/>
      <w:marBottom w:val="0"/>
      <w:divBdr>
        <w:top w:val="none" w:sz="0" w:space="0" w:color="auto"/>
        <w:left w:val="none" w:sz="0" w:space="0" w:color="auto"/>
        <w:bottom w:val="none" w:sz="0" w:space="0" w:color="auto"/>
        <w:right w:val="none" w:sz="0" w:space="0" w:color="auto"/>
      </w:divBdr>
    </w:div>
    <w:div w:id="1604411896">
      <w:bodyDiv w:val="1"/>
      <w:marLeft w:val="0"/>
      <w:marRight w:val="0"/>
      <w:marTop w:val="0"/>
      <w:marBottom w:val="0"/>
      <w:divBdr>
        <w:top w:val="none" w:sz="0" w:space="0" w:color="auto"/>
        <w:left w:val="none" w:sz="0" w:space="0" w:color="auto"/>
        <w:bottom w:val="none" w:sz="0" w:space="0" w:color="auto"/>
        <w:right w:val="none" w:sz="0" w:space="0" w:color="auto"/>
      </w:divBdr>
    </w:div>
    <w:div w:id="1822884465">
      <w:bodyDiv w:val="1"/>
      <w:marLeft w:val="0"/>
      <w:marRight w:val="0"/>
      <w:marTop w:val="0"/>
      <w:marBottom w:val="0"/>
      <w:divBdr>
        <w:top w:val="none" w:sz="0" w:space="0" w:color="auto"/>
        <w:left w:val="none" w:sz="0" w:space="0" w:color="auto"/>
        <w:bottom w:val="none" w:sz="0" w:space="0" w:color="auto"/>
        <w:right w:val="none" w:sz="0" w:space="0" w:color="auto"/>
      </w:divBdr>
    </w:div>
    <w:div w:id="1959019984">
      <w:bodyDiv w:val="1"/>
      <w:marLeft w:val="0"/>
      <w:marRight w:val="0"/>
      <w:marTop w:val="0"/>
      <w:marBottom w:val="0"/>
      <w:divBdr>
        <w:top w:val="none" w:sz="0" w:space="0" w:color="auto"/>
        <w:left w:val="none" w:sz="0" w:space="0" w:color="auto"/>
        <w:bottom w:val="none" w:sz="0" w:space="0" w:color="auto"/>
        <w:right w:val="none" w:sz="0" w:space="0" w:color="auto"/>
      </w:divBdr>
    </w:div>
    <w:div w:id="2021392952">
      <w:bodyDiv w:val="1"/>
      <w:marLeft w:val="0"/>
      <w:marRight w:val="0"/>
      <w:marTop w:val="0"/>
      <w:marBottom w:val="0"/>
      <w:divBdr>
        <w:top w:val="none" w:sz="0" w:space="0" w:color="auto"/>
        <w:left w:val="none" w:sz="0" w:space="0" w:color="auto"/>
        <w:bottom w:val="none" w:sz="0" w:space="0" w:color="auto"/>
        <w:right w:val="none" w:sz="0" w:space="0" w:color="auto"/>
      </w:divBdr>
    </w:div>
    <w:div w:id="2033874119">
      <w:bodyDiv w:val="1"/>
      <w:marLeft w:val="0"/>
      <w:marRight w:val="0"/>
      <w:marTop w:val="0"/>
      <w:marBottom w:val="0"/>
      <w:divBdr>
        <w:top w:val="none" w:sz="0" w:space="0" w:color="auto"/>
        <w:left w:val="none" w:sz="0" w:space="0" w:color="auto"/>
        <w:bottom w:val="none" w:sz="0" w:space="0" w:color="auto"/>
        <w:right w:val="none" w:sz="0" w:space="0" w:color="auto"/>
      </w:divBdr>
    </w:div>
    <w:div w:id="21438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8465AE-31F8-4AD4-9F22-19C81B39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Pipe</dc:creator>
  <cp:lastModifiedBy>Ravi Lockyer</cp:lastModifiedBy>
  <cp:revision>2</cp:revision>
  <cp:lastPrinted>2017-06-28T13:43:00Z</cp:lastPrinted>
  <dcterms:created xsi:type="dcterms:W3CDTF">2020-07-06T15:19:00Z</dcterms:created>
  <dcterms:modified xsi:type="dcterms:W3CDTF">2020-07-06T15:19:00Z</dcterms:modified>
</cp:coreProperties>
</file>