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
        <w:gridCol w:w="3825"/>
        <w:gridCol w:w="498"/>
        <w:gridCol w:w="6185"/>
      </w:tblGrid>
      <w:tr w:rsidR="00F608C6" w:rsidRPr="001B10A5" w14:paraId="1D0C52FB" w14:textId="77777777" w:rsidTr="0072537A">
        <w:trPr>
          <w:gridBefore w:val="1"/>
          <w:wBefore w:w="70" w:type="dxa"/>
          <w:trHeight w:val="432"/>
        </w:trPr>
        <w:tc>
          <w:tcPr>
            <w:tcW w:w="3888" w:type="dxa"/>
            <w:gridSpan w:val="2"/>
            <w:tcBorders>
              <w:bottom w:val="single" w:sz="4" w:space="0" w:color="auto"/>
            </w:tcBorders>
            <w:shd w:val="clear" w:color="auto" w:fill="005E2A"/>
            <w:vAlign w:val="center"/>
          </w:tcPr>
          <w:p w14:paraId="061A9880" w14:textId="667F9BF0" w:rsidR="00F608C6" w:rsidRDefault="00F608C6" w:rsidP="004F0919">
            <w:pPr>
              <w:spacing w:before="240" w:after="240"/>
              <w:ind w:left="144"/>
              <w:rPr>
                <w:rFonts w:ascii="Open Sans Light" w:hAnsi="Open Sans Light"/>
                <w:sz w:val="40"/>
                <w:szCs w:val="40"/>
              </w:rPr>
            </w:pPr>
            <w:r>
              <w:rPr>
                <w:rFonts w:ascii="Open Sans Light" w:hAnsi="Open Sans Light"/>
                <w:sz w:val="40"/>
                <w:szCs w:val="40"/>
              </w:rPr>
              <w:t xml:space="preserve">Equity </w:t>
            </w:r>
            <w:proofErr w:type="spellStart"/>
            <w:r>
              <w:rPr>
                <w:rFonts w:ascii="Open Sans Light" w:hAnsi="Open Sans Light"/>
                <w:sz w:val="40"/>
                <w:szCs w:val="40"/>
              </w:rPr>
              <w:t>Research</w:t>
            </w:r>
            <w:proofErr w:type="gramStart"/>
            <w:r w:rsidR="00552F05">
              <w:rPr>
                <w:rFonts w:ascii="Open Sans Light" w:hAnsi="Open Sans Light"/>
                <w:sz w:val="40"/>
                <w:szCs w:val="40"/>
              </w:rPr>
              <w:t>;</w:t>
            </w:r>
            <w:r w:rsidR="004F0919">
              <w:rPr>
                <w:rFonts w:ascii="Open Sans Light" w:hAnsi="Open Sans Light"/>
                <w:sz w:val="40"/>
                <w:szCs w:val="40"/>
              </w:rPr>
              <w:t>What</w:t>
            </w:r>
            <w:proofErr w:type="spellEnd"/>
            <w:proofErr w:type="gramEnd"/>
            <w:r w:rsidR="004F0919">
              <w:rPr>
                <w:rFonts w:ascii="Open Sans Light" w:hAnsi="Open Sans Light"/>
                <w:sz w:val="40"/>
                <w:szCs w:val="40"/>
              </w:rPr>
              <w:t xml:space="preserve"> is the new Brexit deal?</w:t>
            </w:r>
          </w:p>
        </w:tc>
        <w:tc>
          <w:tcPr>
            <w:tcW w:w="6205" w:type="dxa"/>
            <w:tcBorders>
              <w:bottom w:val="single" w:sz="4" w:space="0" w:color="auto"/>
            </w:tcBorders>
            <w:shd w:val="clear" w:color="auto" w:fill="005E2A"/>
            <w:vAlign w:val="center"/>
          </w:tcPr>
          <w:p w14:paraId="5D6C4127" w14:textId="7A6815D5" w:rsidR="00F608C6" w:rsidRPr="001B10A5" w:rsidRDefault="00F608C6" w:rsidP="001D4E4E">
            <w:pPr>
              <w:spacing w:before="240" w:after="240"/>
              <w:ind w:right="144"/>
              <w:jc w:val="right"/>
              <w:rPr>
                <w:rFonts w:ascii="Open Sans Light" w:hAnsi="Open Sans Light"/>
                <w:sz w:val="40"/>
                <w:szCs w:val="40"/>
              </w:rPr>
            </w:pPr>
            <w:r>
              <w:rPr>
                <w:rFonts w:ascii="Open Sans Light" w:hAnsi="Open Sans Light"/>
                <w:noProof/>
                <w:sz w:val="40"/>
                <w:szCs w:val="40"/>
                <w:lang w:val="en-GB" w:eastAsia="en-GB"/>
              </w:rPr>
              <w:drawing>
                <wp:inline distT="0" distB="0" distL="0" distR="0" wp14:anchorId="05D41771" wp14:editId="51962653">
                  <wp:extent cx="2348630" cy="222715"/>
                  <wp:effectExtent l="0" t="0" r="0" b="6350"/>
                  <wp:docPr id="6" name="Picture 6" descr="../../../../Downloads/cs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ownloads/css-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6976" cy="233937"/>
                          </a:xfrm>
                          <a:prstGeom prst="rect">
                            <a:avLst/>
                          </a:prstGeom>
                          <a:noFill/>
                          <a:ln>
                            <a:noFill/>
                          </a:ln>
                        </pic:spPr>
                      </pic:pic>
                    </a:graphicData>
                  </a:graphic>
                </wp:inline>
              </w:drawing>
            </w:r>
          </w:p>
        </w:tc>
      </w:tr>
      <w:tr w:rsidR="000D1593" w:rsidRPr="001B10A5" w14:paraId="26093F8F" w14:textId="77777777" w:rsidTr="0072537A">
        <w:tblPrEx>
          <w:tblCellMar>
            <w:left w:w="108" w:type="dxa"/>
            <w:right w:w="108" w:type="dxa"/>
          </w:tblCellMar>
        </w:tblPrEx>
        <w:trPr>
          <w:gridBefore w:val="1"/>
          <w:wBefore w:w="70" w:type="dxa"/>
          <w:trHeight w:val="345"/>
        </w:trPr>
        <w:tc>
          <w:tcPr>
            <w:tcW w:w="3096" w:type="dxa"/>
            <w:tcBorders>
              <w:top w:val="single" w:sz="48" w:space="0" w:color="FFFFFF"/>
              <w:right w:val="single" w:sz="48" w:space="0" w:color="FFFFFF"/>
            </w:tcBorders>
          </w:tcPr>
          <w:tbl>
            <w:tblPr>
              <w:tblStyle w:val="TableGrid"/>
              <w:tblW w:w="2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tblGrid>
            <w:tr w:rsidR="002366E3" w:rsidRPr="002366E3" w14:paraId="79DFC852" w14:textId="77777777" w:rsidTr="00FF4B84">
              <w:tc>
                <w:tcPr>
                  <w:tcW w:w="2880" w:type="dxa"/>
                  <w:tcBorders>
                    <w:bottom w:val="single" w:sz="24" w:space="0" w:color="FFFFFF" w:themeColor="background1"/>
                  </w:tcBorders>
                  <w:shd w:val="clear" w:color="auto" w:fill="005D2A"/>
                </w:tcPr>
                <w:p w14:paraId="6D268596" w14:textId="1914E34F" w:rsidR="002366E3" w:rsidRPr="002366E3" w:rsidRDefault="002366E3" w:rsidP="0014734B">
                  <w:pPr>
                    <w:spacing w:before="100" w:after="100"/>
                    <w:rPr>
                      <w:rFonts w:ascii="Open Sans Light" w:hAnsi="Open Sans Light"/>
                      <w:sz w:val="22"/>
                    </w:rPr>
                  </w:pPr>
                  <w:r w:rsidRPr="002366E3">
                    <w:rPr>
                      <w:rFonts w:ascii="Open Sans Light" w:hAnsi="Open Sans Light"/>
                    </w:rPr>
                    <w:t>Research Report</w:t>
                  </w:r>
                </w:p>
              </w:tc>
            </w:tr>
            <w:tr w:rsidR="002366E3" w:rsidRPr="002366E3" w14:paraId="6001998E" w14:textId="77777777" w:rsidTr="00FF4B84">
              <w:tc>
                <w:tcPr>
                  <w:tcW w:w="2880" w:type="dxa"/>
                  <w:tcBorders>
                    <w:top w:val="single" w:sz="24" w:space="0" w:color="FFFFFF" w:themeColor="background1"/>
                  </w:tcBorders>
                  <w:shd w:val="clear" w:color="auto" w:fill="E7E6E6" w:themeFill="background2"/>
                </w:tcPr>
                <w:p w14:paraId="2627CD74" w14:textId="34337C3D" w:rsidR="002366E3" w:rsidRPr="002366E3" w:rsidRDefault="002366E3" w:rsidP="00D20604">
                  <w:pPr>
                    <w:spacing w:before="60" w:after="60"/>
                    <w:rPr>
                      <w:rFonts w:ascii="Open Sans Light" w:hAnsi="Open Sans Light"/>
                      <w:sz w:val="22"/>
                    </w:rPr>
                  </w:pPr>
                  <w:r w:rsidRPr="002366E3">
                    <w:rPr>
                      <w:rFonts w:ascii="Open Sans Light" w:hAnsi="Open Sans Light"/>
                      <w:sz w:val="22"/>
                    </w:rPr>
                    <w:t>Report Date</w:t>
                  </w:r>
                </w:p>
              </w:tc>
            </w:tr>
            <w:tr w:rsidR="002366E3" w:rsidRPr="002366E3" w14:paraId="3F6290F7" w14:textId="77777777" w:rsidTr="00FF4B84">
              <w:trPr>
                <w:trHeight w:val="585"/>
              </w:trPr>
              <w:tc>
                <w:tcPr>
                  <w:tcW w:w="2880" w:type="dxa"/>
                </w:tcPr>
                <w:p w14:paraId="386CC231" w14:textId="28B16961" w:rsidR="002366E3" w:rsidRPr="002366E3" w:rsidRDefault="004F0919" w:rsidP="004F0919">
                  <w:pPr>
                    <w:spacing w:before="60" w:after="60"/>
                    <w:rPr>
                      <w:rFonts w:ascii="Open Sans Light" w:hAnsi="Open Sans Light"/>
                      <w:sz w:val="22"/>
                    </w:rPr>
                  </w:pPr>
                  <w:r>
                    <w:rPr>
                      <w:rFonts w:ascii="Open Sans Light" w:hAnsi="Open Sans Light"/>
                      <w:sz w:val="22"/>
                    </w:rPr>
                    <w:t>18th</w:t>
                  </w:r>
                  <w:r w:rsidR="00976C7E">
                    <w:rPr>
                      <w:rFonts w:ascii="Open Sans Light" w:hAnsi="Open Sans Light"/>
                      <w:sz w:val="22"/>
                    </w:rPr>
                    <w:t xml:space="preserve"> </w:t>
                  </w:r>
                  <w:r>
                    <w:rPr>
                      <w:rFonts w:ascii="Open Sans Light" w:hAnsi="Open Sans Light"/>
                      <w:sz w:val="22"/>
                    </w:rPr>
                    <w:t>October</w:t>
                  </w:r>
                  <w:r w:rsidR="0000025A">
                    <w:rPr>
                      <w:rFonts w:ascii="Open Sans Light" w:hAnsi="Open Sans Light"/>
                      <w:sz w:val="22"/>
                    </w:rPr>
                    <w:t xml:space="preserve"> 2019</w:t>
                  </w:r>
                </w:p>
              </w:tc>
            </w:tr>
            <w:tr w:rsidR="002366E3" w:rsidRPr="002366E3" w14:paraId="01C5EC3B" w14:textId="77777777" w:rsidTr="00FF4B84">
              <w:tc>
                <w:tcPr>
                  <w:tcW w:w="2880" w:type="dxa"/>
                  <w:shd w:val="clear" w:color="auto" w:fill="E7E6E6" w:themeFill="background2"/>
                </w:tcPr>
                <w:p w14:paraId="3B3F2D9E" w14:textId="0D0159DE" w:rsidR="002366E3" w:rsidRPr="002366E3" w:rsidRDefault="002366E3" w:rsidP="00D20604">
                  <w:pPr>
                    <w:spacing w:before="60" w:after="60"/>
                    <w:rPr>
                      <w:rFonts w:ascii="Open Sans Light" w:hAnsi="Open Sans Light"/>
                      <w:sz w:val="22"/>
                    </w:rPr>
                  </w:pPr>
                  <w:r w:rsidRPr="002366E3">
                    <w:rPr>
                      <w:rFonts w:ascii="Open Sans Light" w:hAnsi="Open Sans Light"/>
                      <w:sz w:val="22"/>
                    </w:rPr>
                    <w:t>Analyst</w:t>
                  </w:r>
                </w:p>
              </w:tc>
            </w:tr>
            <w:tr w:rsidR="002366E3" w:rsidRPr="002366E3" w14:paraId="3B43D447" w14:textId="77777777" w:rsidTr="00FF4B84">
              <w:trPr>
                <w:trHeight w:val="1107"/>
              </w:trPr>
              <w:tc>
                <w:tcPr>
                  <w:tcW w:w="2880" w:type="dxa"/>
                </w:tcPr>
                <w:p w14:paraId="61C83D48" w14:textId="7854AB20" w:rsidR="00D20604" w:rsidRPr="002366E3" w:rsidRDefault="002366E3" w:rsidP="00D20604">
                  <w:pPr>
                    <w:spacing w:before="60" w:after="60"/>
                    <w:rPr>
                      <w:rFonts w:ascii="Open Sans Light" w:hAnsi="Open Sans Light"/>
                      <w:sz w:val="22"/>
                    </w:rPr>
                  </w:pPr>
                  <w:r w:rsidRPr="002366E3">
                    <w:rPr>
                      <w:rFonts w:ascii="Open Sans Light" w:hAnsi="Open Sans Light"/>
                      <w:sz w:val="22"/>
                    </w:rPr>
                    <w:t xml:space="preserve">Ravi Lockyer MSc </w:t>
                  </w:r>
                  <w:proofErr w:type="spellStart"/>
                  <w:r w:rsidRPr="002366E3">
                    <w:rPr>
                      <w:rFonts w:ascii="Open Sans Light" w:hAnsi="Open Sans Light"/>
                      <w:sz w:val="22"/>
                    </w:rPr>
                    <w:t>Llb</w:t>
                  </w:r>
                  <w:proofErr w:type="spellEnd"/>
                  <w:r w:rsidR="00352A25">
                    <w:rPr>
                      <w:rFonts w:ascii="Open Sans Light" w:hAnsi="Open Sans Light"/>
                      <w:sz w:val="22"/>
                    </w:rPr>
                    <w:t xml:space="preserve"> ASCI</w:t>
                  </w:r>
                </w:p>
                <w:p w14:paraId="21044124" w14:textId="723A1A5D" w:rsidR="002366E3" w:rsidRPr="002366E3" w:rsidRDefault="002366E3" w:rsidP="00D20604">
                  <w:pPr>
                    <w:spacing w:before="60" w:after="60"/>
                    <w:rPr>
                      <w:rFonts w:ascii="Open Sans Light" w:hAnsi="Open Sans Light"/>
                      <w:sz w:val="22"/>
                    </w:rPr>
                  </w:pPr>
                  <w:r w:rsidRPr="00F30F79">
                    <w:rPr>
                      <w:rFonts w:ascii="Open Sans Light" w:hAnsi="Open Sans Light"/>
                      <w:sz w:val="20"/>
                    </w:rPr>
                    <w:t>Collins Sarri Statham Investments Ltd</w:t>
                  </w:r>
                </w:p>
              </w:tc>
            </w:tr>
            <w:tr w:rsidR="00FF4B84" w:rsidRPr="002366E3" w14:paraId="2D0424F1" w14:textId="77777777" w:rsidTr="00FF4B84">
              <w:trPr>
                <w:trHeight w:val="468"/>
              </w:trPr>
              <w:tc>
                <w:tcPr>
                  <w:tcW w:w="2880" w:type="dxa"/>
                  <w:shd w:val="clear" w:color="auto" w:fill="E7E6E6"/>
                </w:tcPr>
                <w:p w14:paraId="71999C0A" w14:textId="07416B31" w:rsidR="00FF4B84" w:rsidRDefault="00FF4B84" w:rsidP="00D20604">
                  <w:pPr>
                    <w:spacing w:before="60" w:after="60"/>
                    <w:rPr>
                      <w:rFonts w:ascii="Open Sans Light" w:hAnsi="Open Sans Light"/>
                      <w:sz w:val="22"/>
                    </w:rPr>
                  </w:pPr>
                  <w:r w:rsidRPr="00FF4B84">
                    <w:rPr>
                      <w:rFonts w:ascii="Open Sans Light" w:hAnsi="Open Sans Light"/>
                      <w:sz w:val="22"/>
                    </w:rPr>
                    <w:t>Key Risks to Price</w:t>
                  </w:r>
                  <w:r>
                    <w:rPr>
                      <w:rFonts w:ascii="Open Sans Light" w:hAnsi="Open Sans Light"/>
                      <w:sz w:val="22"/>
                    </w:rPr>
                    <w:t xml:space="preserve"> </w:t>
                  </w:r>
                  <w:r w:rsidRPr="00FF4B84">
                    <w:rPr>
                      <w:rFonts w:ascii="Open Sans Light" w:hAnsi="Open Sans Light"/>
                      <w:sz w:val="22"/>
                    </w:rPr>
                    <w:t>Target</w:t>
                  </w:r>
                </w:p>
              </w:tc>
            </w:tr>
            <w:tr w:rsidR="00FF4B84" w:rsidRPr="002366E3" w14:paraId="61BCDE04" w14:textId="77777777" w:rsidTr="00FF4B84">
              <w:trPr>
                <w:trHeight w:val="1449"/>
              </w:trPr>
              <w:tc>
                <w:tcPr>
                  <w:tcW w:w="2880" w:type="dxa"/>
                </w:tcPr>
                <w:p w14:paraId="2FEB1DE4" w14:textId="7CCCE2BA" w:rsidR="00E2304F" w:rsidRDefault="00E2304F" w:rsidP="00E2304F">
                  <w:pPr>
                    <w:spacing w:before="60" w:after="60"/>
                    <w:rPr>
                      <w:rFonts w:ascii="Open Sans Light" w:hAnsi="Open Sans Light"/>
                      <w:sz w:val="22"/>
                    </w:rPr>
                  </w:pPr>
                  <w:r>
                    <w:rPr>
                      <w:rFonts w:ascii="Open Sans Light" w:hAnsi="Open Sans Light"/>
                      <w:sz w:val="22"/>
                    </w:rPr>
                    <w:t>Not applicable</w:t>
                  </w:r>
                </w:p>
                <w:p w14:paraId="48915BF0" w14:textId="77777777" w:rsidR="00E2304F" w:rsidRDefault="00E2304F" w:rsidP="00E2304F">
                  <w:pPr>
                    <w:spacing w:before="60" w:after="60"/>
                    <w:rPr>
                      <w:rFonts w:ascii="Open Sans Light" w:hAnsi="Open Sans Light"/>
                      <w:sz w:val="22"/>
                    </w:rPr>
                  </w:pPr>
                </w:p>
                <w:p w14:paraId="03D6C7D5" w14:textId="69E67131" w:rsidR="00FF4B84" w:rsidRPr="00FF4B84" w:rsidRDefault="00FF4B84" w:rsidP="00E2304F">
                  <w:pPr>
                    <w:spacing w:before="60" w:after="60"/>
                    <w:rPr>
                      <w:rFonts w:ascii="Open Sans Light" w:hAnsi="Open Sans Light"/>
                      <w:i/>
                      <w:sz w:val="22"/>
                    </w:rPr>
                  </w:pPr>
                  <w:r w:rsidRPr="00FF4B84">
                    <w:rPr>
                      <w:rFonts w:ascii="Open Sans Light" w:hAnsi="Open Sans Light"/>
                      <w:i/>
                      <w:sz w:val="22"/>
                    </w:rPr>
                    <w:t>Please note the risk warnings and disclaimers on the last page of this document.</w:t>
                  </w:r>
                </w:p>
              </w:tc>
            </w:tr>
            <w:tr w:rsidR="00FF4B84" w:rsidRPr="002366E3" w14:paraId="42CD9014" w14:textId="77777777" w:rsidTr="00FF4B84">
              <w:trPr>
                <w:trHeight w:val="441"/>
              </w:trPr>
              <w:tc>
                <w:tcPr>
                  <w:tcW w:w="2880" w:type="dxa"/>
                  <w:shd w:val="clear" w:color="auto" w:fill="E7E6E6"/>
                </w:tcPr>
                <w:p w14:paraId="1C2E99C3" w14:textId="3AA5390F" w:rsidR="00FF4B84" w:rsidRPr="00FF4B84" w:rsidRDefault="00FF4B84" w:rsidP="00FF4B84">
                  <w:pPr>
                    <w:spacing w:before="60" w:after="60"/>
                    <w:rPr>
                      <w:rFonts w:ascii="Open Sans Light" w:hAnsi="Open Sans Light"/>
                      <w:sz w:val="22"/>
                    </w:rPr>
                  </w:pPr>
                </w:p>
              </w:tc>
            </w:tr>
          </w:tbl>
          <w:p w14:paraId="1337C626" w14:textId="7C4EDF1A" w:rsidR="001B10A5" w:rsidRPr="001B10A5" w:rsidRDefault="001B10A5" w:rsidP="0014734B">
            <w:pPr>
              <w:rPr>
                <w:rFonts w:ascii="Open Sans Light" w:hAnsi="Open Sans Light"/>
              </w:rPr>
            </w:pPr>
          </w:p>
        </w:tc>
        <w:tc>
          <w:tcPr>
            <w:tcW w:w="6997" w:type="dxa"/>
            <w:gridSpan w:val="2"/>
            <w:tcBorders>
              <w:top w:val="single" w:sz="48" w:space="0" w:color="FFFFFF"/>
              <w:left w:val="single" w:sz="48" w:space="0" w:color="FFFFFF"/>
            </w:tcBorders>
          </w:tcPr>
          <w:p w14:paraId="084064E7" w14:textId="0864FB9D" w:rsidR="00DF6A8E" w:rsidRDefault="004F0919" w:rsidP="00DF6A8E">
            <w:pPr>
              <w:spacing w:after="120"/>
              <w:rPr>
                <w:rFonts w:ascii="Open Sans Semibold" w:hAnsi="Open Sans Semibold"/>
                <w:b/>
                <w:bCs/>
                <w:color w:val="005D2A"/>
                <w:sz w:val="32"/>
              </w:rPr>
            </w:pPr>
            <w:r>
              <w:rPr>
                <w:rFonts w:ascii="Open Sans Semibold" w:hAnsi="Open Sans Semibold"/>
                <w:b/>
                <w:bCs/>
                <w:color w:val="005D2A"/>
                <w:sz w:val="32"/>
              </w:rPr>
              <w:t xml:space="preserve">UK/EU </w:t>
            </w:r>
            <w:r w:rsidR="00EC641A">
              <w:rPr>
                <w:rFonts w:ascii="Open Sans Semibold" w:hAnsi="Open Sans Semibold"/>
                <w:b/>
                <w:bCs/>
                <w:color w:val="005D2A"/>
                <w:sz w:val="32"/>
              </w:rPr>
              <w:t xml:space="preserve">“Brexit” </w:t>
            </w:r>
            <w:r w:rsidR="00430765">
              <w:rPr>
                <w:rFonts w:ascii="Open Sans Semibold" w:hAnsi="Open Sans Semibold"/>
                <w:b/>
                <w:bCs/>
                <w:color w:val="005D2A"/>
                <w:sz w:val="32"/>
              </w:rPr>
              <w:t>deal</w:t>
            </w:r>
            <w:r>
              <w:rPr>
                <w:rFonts w:ascii="Open Sans Semibold" w:hAnsi="Open Sans Semibold"/>
                <w:b/>
                <w:bCs/>
                <w:color w:val="005D2A"/>
                <w:sz w:val="32"/>
              </w:rPr>
              <w:t>; what has changed?</w:t>
            </w:r>
          </w:p>
          <w:p w14:paraId="0AAD971B" w14:textId="77777777" w:rsidR="004F0919" w:rsidRDefault="004F0919" w:rsidP="004F0919">
            <w:pPr>
              <w:spacing w:before="120" w:after="120"/>
              <w:jc w:val="both"/>
              <w:rPr>
                <w:rFonts w:ascii="Open Sans Light" w:hAnsi="Open Sans Light"/>
                <w:sz w:val="22"/>
              </w:rPr>
            </w:pPr>
            <w:r>
              <w:rPr>
                <w:rFonts w:ascii="Open Sans Light" w:hAnsi="Open Sans Light"/>
                <w:sz w:val="22"/>
              </w:rPr>
              <w:t>What precisely has been agreed between the UK and the EU?</w:t>
            </w:r>
          </w:p>
          <w:p w14:paraId="65EA2767" w14:textId="17F5B318" w:rsidR="005A60D9" w:rsidRPr="00B538E8" w:rsidRDefault="004F0919" w:rsidP="00B538E8">
            <w:pPr>
              <w:spacing w:before="120" w:after="120"/>
              <w:jc w:val="both"/>
              <w:rPr>
                <w:rFonts w:ascii="Open Sans Light" w:hAnsi="Open Sans Light"/>
                <w:sz w:val="22"/>
              </w:rPr>
            </w:pPr>
            <w:r w:rsidRPr="00B538E8">
              <w:rPr>
                <w:rFonts w:ascii="Open Sans Light" w:hAnsi="Open Sans Light"/>
                <w:sz w:val="22"/>
              </w:rPr>
              <w:t xml:space="preserve">The “Irish backstop” has been removed from the new text and replaced with a customs border in the Irish Sea that </w:t>
            </w:r>
            <w:r w:rsidR="0017502F" w:rsidRPr="00B538E8">
              <w:rPr>
                <w:rFonts w:ascii="Open Sans Light" w:hAnsi="Open Sans Light"/>
                <w:sz w:val="22"/>
              </w:rPr>
              <w:t xml:space="preserve">will come into existence if the UK and EU do not conclude their main trade deal before the end of the transition period. </w:t>
            </w:r>
          </w:p>
          <w:p w14:paraId="6B3A6010" w14:textId="14C64096" w:rsidR="001B52C6" w:rsidRDefault="0017502F" w:rsidP="0072537A">
            <w:pPr>
              <w:pStyle w:val="ListParagraph"/>
              <w:numPr>
                <w:ilvl w:val="0"/>
                <w:numId w:val="30"/>
              </w:numPr>
              <w:spacing w:before="120" w:after="120"/>
              <w:jc w:val="both"/>
              <w:rPr>
                <w:rFonts w:ascii="Open Sans Light" w:hAnsi="Open Sans Light"/>
                <w:sz w:val="22"/>
              </w:rPr>
            </w:pPr>
            <w:r w:rsidRPr="00552F05">
              <w:rPr>
                <w:rFonts w:ascii="Open Sans Light" w:hAnsi="Open Sans Light"/>
                <w:b/>
                <w:sz w:val="22"/>
              </w:rPr>
              <w:t>Article 4</w:t>
            </w:r>
            <w:r>
              <w:rPr>
                <w:rFonts w:ascii="Open Sans Light" w:hAnsi="Open Sans Light"/>
                <w:sz w:val="22"/>
              </w:rPr>
              <w:t xml:space="preserve"> “Northern Ireland is part of the ‘customs territory’ of the UK”</w:t>
            </w:r>
          </w:p>
          <w:p w14:paraId="14A87A2F" w14:textId="266A304B" w:rsidR="0017502F" w:rsidRDefault="0017502F" w:rsidP="0072537A">
            <w:pPr>
              <w:pStyle w:val="ListParagraph"/>
              <w:numPr>
                <w:ilvl w:val="0"/>
                <w:numId w:val="30"/>
              </w:numPr>
              <w:spacing w:before="120" w:after="120"/>
              <w:jc w:val="both"/>
              <w:rPr>
                <w:rFonts w:ascii="Open Sans Light" w:hAnsi="Open Sans Light"/>
                <w:sz w:val="22"/>
              </w:rPr>
            </w:pPr>
            <w:r w:rsidRPr="00552F05">
              <w:rPr>
                <w:rFonts w:ascii="Open Sans Light" w:hAnsi="Open Sans Light"/>
                <w:b/>
                <w:sz w:val="22"/>
              </w:rPr>
              <w:t>Article 5</w:t>
            </w:r>
            <w:r w:rsidR="001379DB">
              <w:rPr>
                <w:rFonts w:ascii="Open Sans Light" w:hAnsi="Open Sans Light"/>
                <w:sz w:val="22"/>
              </w:rPr>
              <w:t xml:space="preserve"> </w:t>
            </w:r>
            <w:proofErr w:type="spellStart"/>
            <w:r w:rsidR="001379DB" w:rsidRPr="00552F05">
              <w:rPr>
                <w:rFonts w:ascii="Open Sans Light" w:hAnsi="Open Sans Light"/>
                <w:b/>
                <w:sz w:val="22"/>
              </w:rPr>
              <w:t>i</w:t>
            </w:r>
            <w:proofErr w:type="spellEnd"/>
            <w:r w:rsidR="001379DB" w:rsidRPr="00552F05">
              <w:rPr>
                <w:rFonts w:ascii="Open Sans Light" w:hAnsi="Open Sans Light"/>
                <w:b/>
                <w:sz w:val="22"/>
              </w:rPr>
              <w:t>)</w:t>
            </w:r>
            <w:r>
              <w:rPr>
                <w:rFonts w:ascii="Open Sans Light" w:hAnsi="Open Sans Light"/>
                <w:sz w:val="22"/>
              </w:rPr>
              <w:t xml:space="preserve"> “No c</w:t>
            </w:r>
            <w:r w:rsidR="009C31FD">
              <w:rPr>
                <w:rFonts w:ascii="Open Sans Light" w:hAnsi="Open Sans Light"/>
                <w:sz w:val="22"/>
              </w:rPr>
              <w:t>ustoms duti</w:t>
            </w:r>
            <w:r w:rsidR="00B72D1F">
              <w:rPr>
                <w:rFonts w:ascii="Open Sans Light" w:hAnsi="Open Sans Light"/>
                <w:sz w:val="22"/>
              </w:rPr>
              <w:t>es are payable for goods brought into Northern Ireland from the UK unless that good is at risk of subsequently being moved into the Republic of Ireland whether by itself</w:t>
            </w:r>
            <w:r w:rsidR="009C31FD">
              <w:rPr>
                <w:rFonts w:ascii="Open Sans Light" w:hAnsi="Open Sans Light"/>
                <w:sz w:val="22"/>
              </w:rPr>
              <w:t xml:space="preserve"> or forming part of another good following processing</w:t>
            </w:r>
            <w:r w:rsidR="001379DB">
              <w:rPr>
                <w:rFonts w:ascii="Open Sans Light" w:hAnsi="Open Sans Light"/>
                <w:sz w:val="22"/>
              </w:rPr>
              <w:t>”</w:t>
            </w:r>
          </w:p>
          <w:p w14:paraId="02C13BA6" w14:textId="19E4C7DC" w:rsidR="001379DB" w:rsidRPr="00B538E8" w:rsidRDefault="001379DB" w:rsidP="00B538E8">
            <w:pPr>
              <w:pStyle w:val="ListParagraph"/>
              <w:spacing w:before="120" w:after="120"/>
              <w:ind w:left="1080"/>
              <w:jc w:val="both"/>
              <w:rPr>
                <w:rFonts w:ascii="Open Sans Light" w:hAnsi="Open Sans Light"/>
                <w:sz w:val="22"/>
              </w:rPr>
            </w:pPr>
            <w:r w:rsidRPr="00552F05">
              <w:rPr>
                <w:rFonts w:ascii="Open Sans Light" w:hAnsi="Open Sans Light"/>
                <w:b/>
                <w:sz w:val="22"/>
              </w:rPr>
              <w:t>Article 5 ii)</w:t>
            </w:r>
            <w:r>
              <w:rPr>
                <w:rFonts w:ascii="Open Sans Light" w:hAnsi="Open Sans Light"/>
                <w:sz w:val="22"/>
              </w:rPr>
              <w:t xml:space="preserve"> </w:t>
            </w:r>
            <w:r w:rsidR="00B538E8">
              <w:rPr>
                <w:rFonts w:ascii="Open Sans Light" w:hAnsi="Open Sans Light"/>
                <w:sz w:val="22"/>
              </w:rPr>
              <w:t>“</w:t>
            </w:r>
            <w:r>
              <w:rPr>
                <w:rFonts w:ascii="Open Sans Light" w:hAnsi="Open Sans Light"/>
                <w:sz w:val="22"/>
              </w:rPr>
              <w:t>EU law concerning goods shall apply to UK in respect of Northern Ireland</w:t>
            </w:r>
            <w:r w:rsidR="00B538E8">
              <w:rPr>
                <w:rFonts w:ascii="Open Sans Light" w:hAnsi="Open Sans Light"/>
                <w:sz w:val="22"/>
              </w:rPr>
              <w:t>”</w:t>
            </w:r>
            <w:r>
              <w:rPr>
                <w:rFonts w:ascii="Open Sans Light" w:hAnsi="Open Sans Light"/>
                <w:sz w:val="22"/>
              </w:rPr>
              <w:t xml:space="preserve">  - This means when it comes to the regulation of goods Northern Ireland would keep to the rules of the EU’s single market not UK rules removing the need for p</w:t>
            </w:r>
            <w:r w:rsidR="00B538E8">
              <w:rPr>
                <w:rFonts w:ascii="Open Sans Light" w:hAnsi="Open Sans Light"/>
                <w:sz w:val="22"/>
              </w:rPr>
              <w:t xml:space="preserve">roduct standard/ safety checks. The </w:t>
            </w:r>
            <w:r w:rsidRPr="00B538E8">
              <w:rPr>
                <w:rFonts w:ascii="Open Sans Light" w:hAnsi="Open Sans Light"/>
                <w:sz w:val="22"/>
              </w:rPr>
              <w:t>UK shall collect VAT and excise duties</w:t>
            </w:r>
            <w:r w:rsidR="00430765" w:rsidRPr="00B538E8">
              <w:rPr>
                <w:rFonts w:ascii="Open Sans Light" w:hAnsi="Open Sans Light"/>
                <w:sz w:val="22"/>
              </w:rPr>
              <w:t xml:space="preserve"> on behalf of the EU</w:t>
            </w:r>
          </w:p>
          <w:p w14:paraId="5D9F76CD" w14:textId="4ED86C63" w:rsidR="001379DB" w:rsidRDefault="001379DB" w:rsidP="001379DB">
            <w:pPr>
              <w:pStyle w:val="ListParagraph"/>
              <w:numPr>
                <w:ilvl w:val="0"/>
                <w:numId w:val="30"/>
              </w:numPr>
              <w:spacing w:before="120" w:after="120"/>
              <w:jc w:val="both"/>
              <w:rPr>
                <w:rFonts w:ascii="Open Sans Light" w:hAnsi="Open Sans Light"/>
                <w:sz w:val="22"/>
              </w:rPr>
            </w:pPr>
            <w:r w:rsidRPr="00552F05">
              <w:rPr>
                <w:rFonts w:ascii="Open Sans Light" w:hAnsi="Open Sans Light"/>
                <w:b/>
                <w:sz w:val="22"/>
              </w:rPr>
              <w:t xml:space="preserve">Article 12 </w:t>
            </w:r>
            <w:proofErr w:type="spellStart"/>
            <w:r w:rsidRPr="00552F05">
              <w:rPr>
                <w:rFonts w:ascii="Open Sans Light" w:hAnsi="Open Sans Light"/>
                <w:b/>
                <w:sz w:val="22"/>
              </w:rPr>
              <w:t>i</w:t>
            </w:r>
            <w:proofErr w:type="spellEnd"/>
            <w:r w:rsidRPr="00552F05">
              <w:rPr>
                <w:rFonts w:ascii="Open Sans Light" w:hAnsi="Open Sans Light"/>
                <w:b/>
                <w:sz w:val="22"/>
              </w:rPr>
              <w:t>)</w:t>
            </w:r>
            <w:r>
              <w:rPr>
                <w:rFonts w:ascii="Open Sans Light" w:hAnsi="Open Sans Light"/>
                <w:sz w:val="22"/>
              </w:rPr>
              <w:t xml:space="preserve"> UK is responsible for implementing and applying provisions of EU law</w:t>
            </w:r>
          </w:p>
          <w:p w14:paraId="4A0C0523" w14:textId="631C061C" w:rsidR="001379DB" w:rsidRPr="001379DB" w:rsidRDefault="001379DB" w:rsidP="001379DB">
            <w:pPr>
              <w:pStyle w:val="ListParagraph"/>
              <w:numPr>
                <w:ilvl w:val="0"/>
                <w:numId w:val="30"/>
              </w:numPr>
              <w:spacing w:before="120" w:after="120"/>
              <w:jc w:val="both"/>
              <w:rPr>
                <w:rFonts w:ascii="Open Sans Light" w:hAnsi="Open Sans Light"/>
                <w:sz w:val="22"/>
              </w:rPr>
            </w:pPr>
            <w:r w:rsidRPr="00552F05">
              <w:rPr>
                <w:rFonts w:ascii="Open Sans Light" w:hAnsi="Open Sans Light"/>
                <w:b/>
                <w:sz w:val="22"/>
              </w:rPr>
              <w:t>Article 18 ii)</w:t>
            </w:r>
            <w:r>
              <w:rPr>
                <w:rFonts w:ascii="Open Sans Light" w:hAnsi="Open Sans Light"/>
                <w:sz w:val="22"/>
              </w:rPr>
              <w:t xml:space="preserve"> “Democratic consent in Northern Ireland in a manner consistent with the 1998 Agreement” (the Good Friday Agreement). The first vote can only happen until four years after the end of the transition period (i.e. January 2025) </w:t>
            </w:r>
          </w:p>
          <w:p w14:paraId="220B9841" w14:textId="51F66CBA" w:rsidR="002C0987" w:rsidRDefault="001379DB" w:rsidP="002C0987">
            <w:pPr>
              <w:spacing w:before="120" w:after="120"/>
              <w:jc w:val="both"/>
              <w:rPr>
                <w:rFonts w:ascii="Open Sans Semibold" w:hAnsi="Open Sans Semibold"/>
                <w:b/>
                <w:bCs/>
                <w:color w:val="005D2A"/>
                <w:sz w:val="32"/>
              </w:rPr>
            </w:pPr>
            <w:r>
              <w:rPr>
                <w:rFonts w:ascii="Open Sans Semibold" w:hAnsi="Open Sans Semibold"/>
                <w:b/>
                <w:bCs/>
                <w:color w:val="005D2A"/>
                <w:sz w:val="32"/>
              </w:rPr>
              <w:t>The “transition period” stays in place</w:t>
            </w:r>
          </w:p>
          <w:p w14:paraId="3BCD5211" w14:textId="5D4F097F" w:rsidR="00817B7D" w:rsidRDefault="001379DB" w:rsidP="001379DB">
            <w:pPr>
              <w:spacing w:before="120" w:after="120"/>
              <w:jc w:val="both"/>
              <w:rPr>
                <w:rFonts w:ascii="Open Sans Light" w:hAnsi="Open Sans Light"/>
                <w:sz w:val="22"/>
              </w:rPr>
            </w:pPr>
            <w:r>
              <w:rPr>
                <w:rFonts w:ascii="Open Sans Light" w:hAnsi="Open Sans Light"/>
                <w:sz w:val="22"/>
              </w:rPr>
              <w:t>Whilst the UK/ EU deal envisages the UK’s departure from the EU on the 31</w:t>
            </w:r>
            <w:r w:rsidRPr="001379DB">
              <w:rPr>
                <w:rFonts w:ascii="Open Sans Light" w:hAnsi="Open Sans Light"/>
                <w:sz w:val="22"/>
                <w:vertAlign w:val="superscript"/>
              </w:rPr>
              <w:t>st</w:t>
            </w:r>
            <w:r>
              <w:rPr>
                <w:rFonts w:ascii="Open Sans Light" w:hAnsi="Open Sans Light"/>
                <w:sz w:val="22"/>
              </w:rPr>
              <w:t xml:space="preserve"> October 2019, the next step is a transition period, which will last until December 2020.</w:t>
            </w:r>
          </w:p>
          <w:p w14:paraId="7189F060" w14:textId="38F1A79E" w:rsidR="00C7355E" w:rsidRDefault="00430765" w:rsidP="00286A73">
            <w:pPr>
              <w:spacing w:before="120" w:after="120"/>
              <w:jc w:val="both"/>
              <w:rPr>
                <w:rFonts w:ascii="Open Sans Light" w:hAnsi="Open Sans Light"/>
                <w:sz w:val="22"/>
              </w:rPr>
            </w:pPr>
            <w:r>
              <w:rPr>
                <w:rFonts w:ascii="Open Sans Light" w:hAnsi="Open Sans Light"/>
                <w:sz w:val="22"/>
              </w:rPr>
              <w:t>During the transition period the UK will need to abide by EU rules and pay into the EU budget but will lose membership of its institutions. The transition can be extended but only for one or two years if both the UK and EU agree.</w:t>
            </w:r>
            <w:r w:rsidR="00552F05">
              <w:rPr>
                <w:rFonts w:ascii="Open Sans Light" w:hAnsi="Open Sans Light"/>
                <w:sz w:val="22"/>
              </w:rPr>
              <w:t xml:space="preserve"> The UK will remain in the customs union and EU’s single market during the transition period.</w:t>
            </w:r>
          </w:p>
          <w:p w14:paraId="10B80B61" w14:textId="7F993950" w:rsidR="00430765" w:rsidRDefault="00430765" w:rsidP="00286A73">
            <w:pPr>
              <w:spacing w:before="120" w:after="120"/>
              <w:jc w:val="both"/>
              <w:rPr>
                <w:rFonts w:ascii="Open Sans Light" w:hAnsi="Open Sans Light"/>
                <w:sz w:val="22"/>
              </w:rPr>
            </w:pPr>
            <w:r>
              <w:rPr>
                <w:rFonts w:ascii="Open Sans Light" w:hAnsi="Open Sans Light"/>
                <w:sz w:val="22"/>
              </w:rPr>
              <w:t>Freedom of movement rules will continue to apply during the transition and anyone remaining in the same EU country for five years will be allowed to apply for permanent residence.</w:t>
            </w:r>
          </w:p>
          <w:p w14:paraId="06AC447F" w14:textId="7D21CEE5" w:rsidR="00430765" w:rsidRDefault="00430765" w:rsidP="00430765">
            <w:pPr>
              <w:spacing w:before="120" w:after="120"/>
              <w:jc w:val="both"/>
              <w:rPr>
                <w:rFonts w:ascii="Open Sans Semibold" w:hAnsi="Open Sans Semibold"/>
                <w:b/>
                <w:bCs/>
                <w:color w:val="005D2A"/>
                <w:sz w:val="32"/>
              </w:rPr>
            </w:pPr>
            <w:r>
              <w:rPr>
                <w:rFonts w:ascii="Open Sans Semibold" w:hAnsi="Open Sans Semibold"/>
                <w:b/>
                <w:bCs/>
                <w:color w:val="005D2A"/>
                <w:sz w:val="32"/>
              </w:rPr>
              <w:t>The political d</w:t>
            </w:r>
            <w:r w:rsidR="00B538E8">
              <w:rPr>
                <w:rFonts w:ascii="Open Sans Semibold" w:hAnsi="Open Sans Semibold"/>
                <w:b/>
                <w:bCs/>
                <w:color w:val="005D2A"/>
                <w:sz w:val="32"/>
              </w:rPr>
              <w:t>eclaration (small revisions</w:t>
            </w:r>
            <w:r>
              <w:rPr>
                <w:rFonts w:ascii="Open Sans Semibold" w:hAnsi="Open Sans Semibold"/>
                <w:b/>
                <w:bCs/>
                <w:color w:val="005D2A"/>
                <w:sz w:val="32"/>
              </w:rPr>
              <w:t>)</w:t>
            </w:r>
          </w:p>
          <w:p w14:paraId="19B9C44C" w14:textId="1DB6DA96" w:rsidR="00430765" w:rsidRDefault="00430765" w:rsidP="00286A73">
            <w:pPr>
              <w:spacing w:before="120" w:after="120"/>
              <w:jc w:val="both"/>
              <w:rPr>
                <w:rFonts w:ascii="Open Sans Light" w:hAnsi="Open Sans Light"/>
                <w:sz w:val="22"/>
              </w:rPr>
            </w:pPr>
            <w:r>
              <w:rPr>
                <w:rFonts w:ascii="Open Sans Light" w:hAnsi="Open Sans Light"/>
                <w:sz w:val="22"/>
              </w:rPr>
              <w:t xml:space="preserve">The new declaration says the UK and the EU should “uphold the common high standards in the areas of state aid, competition, social and employment standards, environment, climate change and relevant </w:t>
            </w:r>
            <w:r>
              <w:rPr>
                <w:rFonts w:ascii="Open Sans Light" w:hAnsi="Open Sans Light"/>
                <w:sz w:val="22"/>
              </w:rPr>
              <w:lastRenderedPageBreak/>
              <w:t>tax matters”. This removes the previous text calling for a “level playing field”</w:t>
            </w:r>
            <w:r w:rsidR="00552F05">
              <w:rPr>
                <w:rFonts w:ascii="Open Sans Light" w:hAnsi="Open Sans Light"/>
                <w:sz w:val="22"/>
              </w:rPr>
              <w:t xml:space="preserve"> that had been criticized as binding the UK too closely to EU regulations in the future.</w:t>
            </w:r>
          </w:p>
          <w:p w14:paraId="4881A893" w14:textId="3B9709DD" w:rsidR="0061336E" w:rsidRDefault="00552F05" w:rsidP="0061336E">
            <w:pPr>
              <w:spacing w:before="120" w:after="120"/>
              <w:jc w:val="both"/>
              <w:rPr>
                <w:rFonts w:ascii="Open Sans Semibold" w:hAnsi="Open Sans Semibold"/>
                <w:b/>
                <w:bCs/>
                <w:color w:val="005D2A"/>
                <w:sz w:val="32"/>
              </w:rPr>
            </w:pPr>
            <w:r>
              <w:rPr>
                <w:rFonts w:ascii="Open Sans Semibold" w:hAnsi="Open Sans Semibold"/>
                <w:b/>
                <w:bCs/>
                <w:color w:val="005D2A"/>
                <w:sz w:val="32"/>
              </w:rPr>
              <w:t>Will it pass the House of Commons?</w:t>
            </w:r>
          </w:p>
          <w:p w14:paraId="65D2EEBE" w14:textId="68857549" w:rsidR="004C72E4" w:rsidRDefault="00E372CB" w:rsidP="00552F05">
            <w:pPr>
              <w:spacing w:before="120" w:after="120"/>
              <w:jc w:val="both"/>
              <w:rPr>
                <w:rFonts w:ascii="Open Sans Light" w:hAnsi="Open Sans Light"/>
                <w:sz w:val="22"/>
              </w:rPr>
            </w:pPr>
            <w:r>
              <w:rPr>
                <w:rFonts w:ascii="Open Sans Light" w:hAnsi="Open Sans Light"/>
                <w:sz w:val="22"/>
              </w:rPr>
              <w:t>Tomorrow for</w:t>
            </w:r>
            <w:r w:rsidR="00552F05">
              <w:rPr>
                <w:rFonts w:ascii="Open Sans Light" w:hAnsi="Open Sans Light"/>
                <w:sz w:val="22"/>
              </w:rPr>
              <w:t xml:space="preserve"> the first time in 37 years</w:t>
            </w:r>
            <w:r>
              <w:rPr>
                <w:rFonts w:ascii="Open Sans Light" w:hAnsi="Open Sans Light"/>
                <w:sz w:val="22"/>
              </w:rPr>
              <w:t>,</w:t>
            </w:r>
            <w:r w:rsidR="00552F05">
              <w:rPr>
                <w:rFonts w:ascii="Open Sans Light" w:hAnsi="Open Sans Light"/>
                <w:sz w:val="22"/>
              </w:rPr>
              <w:t xml:space="preserve"> the Commons will sit on a Saturday. This is a significant vote</w:t>
            </w:r>
            <w:r w:rsidR="002F5801">
              <w:rPr>
                <w:rFonts w:ascii="Open Sans Light" w:hAnsi="Open Sans Light"/>
                <w:sz w:val="22"/>
              </w:rPr>
              <w:t>,</w:t>
            </w:r>
            <w:r w:rsidR="00552F05">
              <w:rPr>
                <w:rFonts w:ascii="Open Sans Light" w:hAnsi="Open Sans Light"/>
                <w:sz w:val="22"/>
              </w:rPr>
              <w:t xml:space="preserve"> </w:t>
            </w:r>
            <w:r w:rsidR="002F5801">
              <w:rPr>
                <w:rFonts w:ascii="Open Sans Light" w:hAnsi="Open Sans Light"/>
                <w:sz w:val="22"/>
              </w:rPr>
              <w:t>but what precisely has changed in terms of voting intentions since the last PM’s withdrawal bill whic</w:t>
            </w:r>
            <w:r>
              <w:rPr>
                <w:rFonts w:ascii="Open Sans Light" w:hAnsi="Open Sans Light"/>
                <w:sz w:val="22"/>
              </w:rPr>
              <w:t xml:space="preserve">h was voted down by a record </w:t>
            </w:r>
            <w:r w:rsidR="002F5801">
              <w:rPr>
                <w:rFonts w:ascii="Open Sans Light" w:hAnsi="Open Sans Light"/>
                <w:sz w:val="22"/>
              </w:rPr>
              <w:t>432 votes v 202 on 15</w:t>
            </w:r>
            <w:r w:rsidR="002F5801" w:rsidRPr="002F5801">
              <w:rPr>
                <w:rFonts w:ascii="Open Sans Light" w:hAnsi="Open Sans Light"/>
                <w:sz w:val="22"/>
                <w:vertAlign w:val="superscript"/>
              </w:rPr>
              <w:t>th</w:t>
            </w:r>
            <w:r w:rsidR="002F5801">
              <w:rPr>
                <w:rFonts w:ascii="Open Sans Light" w:hAnsi="Open Sans Light"/>
                <w:sz w:val="22"/>
              </w:rPr>
              <w:t xml:space="preserve"> January 2019.</w:t>
            </w:r>
            <w:r w:rsidR="004C72E4">
              <w:rPr>
                <w:rFonts w:ascii="Open Sans Light" w:hAnsi="Open Sans Light"/>
                <w:sz w:val="22"/>
              </w:rPr>
              <w:t xml:space="preserve"> </w:t>
            </w:r>
            <w:r w:rsidR="002F5801">
              <w:rPr>
                <w:rFonts w:ascii="Open Sans Light" w:hAnsi="Open Sans Light"/>
                <w:sz w:val="22"/>
              </w:rPr>
              <w:t xml:space="preserve">The passage of the EU Withdrawal Bill failed to secure support three times prompting Theresa May’s departure. </w:t>
            </w:r>
            <w:r>
              <w:rPr>
                <w:rFonts w:ascii="Open Sans Light" w:hAnsi="Open Sans Light"/>
                <w:sz w:val="22"/>
              </w:rPr>
              <w:t>P</w:t>
            </w:r>
            <w:r w:rsidR="004C72E4">
              <w:rPr>
                <w:rFonts w:ascii="Open Sans Light" w:hAnsi="Open Sans Light"/>
                <w:sz w:val="22"/>
              </w:rPr>
              <w:t>M Boris Johnson needs 320 votes but has clear support from 259 MPs hence will require 61 votes.</w:t>
            </w:r>
          </w:p>
          <w:p w14:paraId="28177097" w14:textId="5BD1681F" w:rsidR="002F5801" w:rsidRDefault="002F5801" w:rsidP="00552F05">
            <w:pPr>
              <w:spacing w:before="120" w:after="120"/>
              <w:jc w:val="both"/>
              <w:rPr>
                <w:rFonts w:ascii="Open Sans Light" w:hAnsi="Open Sans Light"/>
                <w:sz w:val="22"/>
              </w:rPr>
            </w:pPr>
            <w:r>
              <w:rPr>
                <w:rFonts w:ascii="Open Sans Light" w:hAnsi="Open Sans Light"/>
                <w:sz w:val="22"/>
              </w:rPr>
              <w:t>There are significant moving parts on this occasion</w:t>
            </w:r>
            <w:r w:rsidR="004C72E4">
              <w:rPr>
                <w:rFonts w:ascii="Open Sans Light" w:hAnsi="Open Sans Light"/>
                <w:sz w:val="22"/>
              </w:rPr>
              <w:t xml:space="preserve"> to consider</w:t>
            </w:r>
            <w:r>
              <w:rPr>
                <w:rFonts w:ascii="Open Sans Light" w:hAnsi="Open Sans Light"/>
                <w:sz w:val="22"/>
              </w:rPr>
              <w:t>:-</w:t>
            </w:r>
          </w:p>
          <w:p w14:paraId="35151D06" w14:textId="27FD332E" w:rsidR="002F5801" w:rsidRDefault="002F5801" w:rsidP="002F5801">
            <w:pPr>
              <w:pStyle w:val="ListParagraph"/>
              <w:numPr>
                <w:ilvl w:val="0"/>
                <w:numId w:val="31"/>
              </w:numPr>
              <w:spacing w:before="120" w:after="120"/>
              <w:jc w:val="both"/>
              <w:rPr>
                <w:rFonts w:ascii="Open Sans Light" w:hAnsi="Open Sans Light"/>
                <w:sz w:val="22"/>
              </w:rPr>
            </w:pPr>
            <w:r>
              <w:rPr>
                <w:rFonts w:ascii="Open Sans Light" w:hAnsi="Open Sans Light"/>
                <w:sz w:val="22"/>
              </w:rPr>
              <w:t>European Research Group –</w:t>
            </w:r>
            <w:r w:rsidR="004C72E4">
              <w:rPr>
                <w:rFonts w:ascii="Open Sans Light" w:hAnsi="Open Sans Light"/>
                <w:sz w:val="22"/>
              </w:rPr>
              <w:t>a 28 strong group</w:t>
            </w:r>
            <w:r>
              <w:rPr>
                <w:rFonts w:ascii="Open Sans Light" w:hAnsi="Open Sans Light"/>
                <w:sz w:val="22"/>
              </w:rPr>
              <w:t xml:space="preserve"> led by Steve Baker appears supportive</w:t>
            </w:r>
            <w:r w:rsidR="002B14C0">
              <w:rPr>
                <w:rFonts w:ascii="Open Sans Light" w:hAnsi="Open Sans Light"/>
                <w:sz w:val="22"/>
              </w:rPr>
              <w:t xml:space="preserve"> of PM Boris Jo</w:t>
            </w:r>
            <w:r w:rsidR="004C72E4">
              <w:rPr>
                <w:rFonts w:ascii="Open Sans Light" w:hAnsi="Open Sans Light"/>
                <w:sz w:val="22"/>
              </w:rPr>
              <w:t>hnson’s new deal though might be influenced by the DUP</w:t>
            </w:r>
          </w:p>
          <w:p w14:paraId="2969EBBF" w14:textId="3E6205C5" w:rsidR="002B14C0" w:rsidRDefault="002B14C0" w:rsidP="002F5801">
            <w:pPr>
              <w:pStyle w:val="ListParagraph"/>
              <w:numPr>
                <w:ilvl w:val="0"/>
                <w:numId w:val="31"/>
              </w:numPr>
              <w:spacing w:before="120" w:after="120"/>
              <w:jc w:val="both"/>
              <w:rPr>
                <w:rFonts w:ascii="Open Sans Light" w:hAnsi="Open Sans Light"/>
                <w:sz w:val="22"/>
              </w:rPr>
            </w:pPr>
            <w:r>
              <w:rPr>
                <w:rFonts w:ascii="Open Sans Light" w:hAnsi="Open Sans Light"/>
                <w:sz w:val="22"/>
              </w:rPr>
              <w:t>Independents; shortly after the arrival of new leadership at no.10 a dismissal process that resembled a “purge” began that saw the removal of the whip from leading moderates within the Conservative party including Philip Hammond, Nick Soames, Alistair Burt, Ken Clarke etc</w:t>
            </w:r>
            <w:r w:rsidR="004C72E4">
              <w:rPr>
                <w:rFonts w:ascii="Open Sans Light" w:hAnsi="Open Sans Light"/>
                <w:sz w:val="22"/>
              </w:rPr>
              <w:t>. This is a 20 strong group, 3 of whom have said they are unlikely to support a deal in any circumstances because they want a second referendum.</w:t>
            </w:r>
          </w:p>
          <w:p w14:paraId="510BF491" w14:textId="00E835A0" w:rsidR="004C72E4" w:rsidRDefault="004C72E4" w:rsidP="002F5801">
            <w:pPr>
              <w:pStyle w:val="ListParagraph"/>
              <w:numPr>
                <w:ilvl w:val="0"/>
                <w:numId w:val="31"/>
              </w:numPr>
              <w:spacing w:before="120" w:after="120"/>
              <w:jc w:val="both"/>
              <w:rPr>
                <w:rFonts w:ascii="Open Sans Light" w:hAnsi="Open Sans Light"/>
                <w:sz w:val="22"/>
              </w:rPr>
            </w:pPr>
            <w:r>
              <w:rPr>
                <w:rFonts w:ascii="Open Sans Light" w:hAnsi="Open Sans Light"/>
                <w:sz w:val="22"/>
              </w:rPr>
              <w:t>DUP –</w:t>
            </w:r>
            <w:r w:rsidR="00E372CB">
              <w:rPr>
                <w:rFonts w:ascii="Open Sans Light" w:hAnsi="Open Sans Light"/>
                <w:sz w:val="22"/>
              </w:rPr>
              <w:t xml:space="preserve"> 10 strong </w:t>
            </w:r>
            <w:proofErr w:type="gramStart"/>
            <w:r w:rsidR="00E372CB">
              <w:rPr>
                <w:rFonts w:ascii="Open Sans Light" w:hAnsi="Open Sans Light"/>
                <w:sz w:val="22"/>
              </w:rPr>
              <w:t>group</w:t>
            </w:r>
            <w:proofErr w:type="gramEnd"/>
            <w:r w:rsidR="00E372CB">
              <w:rPr>
                <w:rFonts w:ascii="Open Sans Light" w:hAnsi="Open Sans Light"/>
                <w:sz w:val="22"/>
              </w:rPr>
              <w:t xml:space="preserve"> </w:t>
            </w:r>
            <w:r>
              <w:rPr>
                <w:rFonts w:ascii="Open Sans Light" w:hAnsi="Open Sans Light"/>
                <w:sz w:val="22"/>
              </w:rPr>
              <w:t>said they will not support the new deal apparently because they have not been allowed a veto over the Stormont vote (which will be determined by a majority vote.</w:t>
            </w:r>
          </w:p>
          <w:p w14:paraId="51842E9B" w14:textId="7F7F626E" w:rsidR="004C72E4" w:rsidRDefault="004C72E4" w:rsidP="002F5801">
            <w:pPr>
              <w:pStyle w:val="ListParagraph"/>
              <w:numPr>
                <w:ilvl w:val="0"/>
                <w:numId w:val="31"/>
              </w:numPr>
              <w:spacing w:before="120" w:after="120"/>
              <w:jc w:val="both"/>
              <w:rPr>
                <w:rFonts w:ascii="Open Sans Light" w:hAnsi="Open Sans Light"/>
                <w:sz w:val="22"/>
              </w:rPr>
            </w:pPr>
            <w:proofErr w:type="spellStart"/>
            <w:r>
              <w:rPr>
                <w:rFonts w:ascii="Open Sans Light" w:hAnsi="Open Sans Light"/>
                <w:sz w:val="22"/>
              </w:rPr>
              <w:t>Labour</w:t>
            </w:r>
            <w:proofErr w:type="spellEnd"/>
            <w:r>
              <w:rPr>
                <w:rFonts w:ascii="Open Sans Light" w:hAnsi="Open Sans Light"/>
                <w:sz w:val="22"/>
              </w:rPr>
              <w:t xml:space="preserve"> support – possibly 19 </w:t>
            </w:r>
            <w:proofErr w:type="spellStart"/>
            <w:r>
              <w:rPr>
                <w:rFonts w:ascii="Open Sans Light" w:hAnsi="Open Sans Light"/>
                <w:sz w:val="22"/>
              </w:rPr>
              <w:t>Labour</w:t>
            </w:r>
            <w:proofErr w:type="spellEnd"/>
            <w:r>
              <w:rPr>
                <w:rFonts w:ascii="Open Sans Light" w:hAnsi="Open Sans Light"/>
                <w:sz w:val="22"/>
              </w:rPr>
              <w:t xml:space="preserve"> MP’s might support the new deal but as on previous occasions</w:t>
            </w:r>
            <w:r w:rsidR="00B220FD">
              <w:rPr>
                <w:rFonts w:ascii="Open Sans Light" w:hAnsi="Open Sans Light"/>
                <w:sz w:val="22"/>
              </w:rPr>
              <w:t xml:space="preserve"> when significant predicted support failed to materialize,</w:t>
            </w:r>
            <w:r>
              <w:rPr>
                <w:rFonts w:ascii="Open Sans Light" w:hAnsi="Open Sans Light"/>
                <w:sz w:val="22"/>
              </w:rPr>
              <w:t xml:space="preserve"> </w:t>
            </w:r>
            <w:r w:rsidR="00B220FD">
              <w:rPr>
                <w:rFonts w:ascii="Open Sans Light" w:hAnsi="Open Sans Light"/>
                <w:sz w:val="22"/>
              </w:rPr>
              <w:t>this has been the object of</w:t>
            </w:r>
            <w:r>
              <w:rPr>
                <w:rFonts w:ascii="Open Sans Light" w:hAnsi="Open Sans Light"/>
                <w:sz w:val="22"/>
              </w:rPr>
              <w:t xml:space="preserve"> speculation</w:t>
            </w:r>
            <w:r w:rsidR="00B538E8">
              <w:rPr>
                <w:rFonts w:ascii="Open Sans Light" w:hAnsi="Open Sans Light"/>
                <w:sz w:val="22"/>
              </w:rPr>
              <w:t xml:space="preserve"> and is impossible to ascertain</w:t>
            </w:r>
            <w:r>
              <w:rPr>
                <w:rFonts w:ascii="Open Sans Light" w:hAnsi="Open Sans Light"/>
                <w:sz w:val="22"/>
              </w:rPr>
              <w:t>.</w:t>
            </w:r>
            <w:r w:rsidR="00B220FD">
              <w:rPr>
                <w:rFonts w:ascii="Open Sans Light" w:hAnsi="Open Sans Light"/>
                <w:sz w:val="22"/>
              </w:rPr>
              <w:t xml:space="preserve"> </w:t>
            </w:r>
          </w:p>
          <w:p w14:paraId="02743F72" w14:textId="574B2558" w:rsidR="004C72E4" w:rsidRDefault="00FE4D0C" w:rsidP="00B220FD">
            <w:pPr>
              <w:spacing w:before="120" w:after="120"/>
              <w:jc w:val="both"/>
              <w:rPr>
                <w:rFonts w:ascii="Open Sans Light" w:hAnsi="Open Sans Light"/>
                <w:sz w:val="22"/>
              </w:rPr>
            </w:pPr>
            <w:r>
              <w:rPr>
                <w:rFonts w:ascii="Open Sans Light" w:hAnsi="Open Sans Light"/>
                <w:sz w:val="22"/>
              </w:rPr>
              <w:t>Boris Johnson has made many enemies in climbing the greasy pole. T</w:t>
            </w:r>
            <w:r w:rsidR="00B220FD">
              <w:rPr>
                <w:rFonts w:ascii="Open Sans Light" w:hAnsi="Open Sans Light"/>
                <w:sz w:val="22"/>
              </w:rPr>
              <w:t xml:space="preserve">his will </w:t>
            </w:r>
            <w:r>
              <w:rPr>
                <w:rFonts w:ascii="Open Sans Light" w:hAnsi="Open Sans Light"/>
                <w:sz w:val="22"/>
              </w:rPr>
              <w:t>be an exceptionally close vote</w:t>
            </w:r>
            <w:r w:rsidR="00B220FD">
              <w:rPr>
                <w:rFonts w:ascii="Open Sans Light" w:hAnsi="Open Sans Light"/>
                <w:sz w:val="22"/>
              </w:rPr>
              <w:t>. Gun t</w:t>
            </w:r>
            <w:r>
              <w:rPr>
                <w:rFonts w:ascii="Open Sans Light" w:hAnsi="Open Sans Light"/>
                <w:sz w:val="22"/>
              </w:rPr>
              <w:t>o my head, I really cannot predict the outcome.</w:t>
            </w:r>
          </w:p>
          <w:p w14:paraId="054D078F" w14:textId="57393ED3" w:rsidR="00B220FD" w:rsidRDefault="00B220FD" w:rsidP="00B220FD">
            <w:pPr>
              <w:spacing w:before="120" w:after="120"/>
              <w:jc w:val="both"/>
              <w:rPr>
                <w:rFonts w:ascii="Open Sans Semibold" w:hAnsi="Open Sans Semibold"/>
                <w:b/>
                <w:bCs/>
                <w:color w:val="005D2A"/>
                <w:sz w:val="32"/>
              </w:rPr>
            </w:pPr>
            <w:r>
              <w:rPr>
                <w:rFonts w:ascii="Open Sans Semibold" w:hAnsi="Open Sans Semibold"/>
                <w:b/>
                <w:bCs/>
                <w:color w:val="005D2A"/>
                <w:sz w:val="32"/>
              </w:rPr>
              <w:t>UK market response</w:t>
            </w:r>
          </w:p>
          <w:p w14:paraId="0ECA67F7" w14:textId="2A4E2EEA" w:rsidR="00B220FD" w:rsidRDefault="00B220FD" w:rsidP="00B220FD">
            <w:pPr>
              <w:spacing w:before="120" w:after="120"/>
              <w:jc w:val="both"/>
              <w:rPr>
                <w:rFonts w:ascii="Open Sans Light" w:hAnsi="Open Sans Light"/>
                <w:sz w:val="22"/>
              </w:rPr>
            </w:pPr>
            <w:r>
              <w:rPr>
                <w:rFonts w:ascii="Open Sans Light" w:hAnsi="Open Sans Light"/>
                <w:sz w:val="22"/>
              </w:rPr>
              <w:t>Recent events have been sterling driven, with a diverse group of UK focused companies rising by 10%-20%.</w:t>
            </w:r>
            <w:r w:rsidR="00FE4D0C">
              <w:rPr>
                <w:rFonts w:ascii="Open Sans Light" w:hAnsi="Open Sans Light"/>
                <w:sz w:val="22"/>
              </w:rPr>
              <w:t xml:space="preserve"> I would venture that at least half of these gains are vulnerable if the vote </w:t>
            </w:r>
            <w:r w:rsidR="003008F9">
              <w:rPr>
                <w:rFonts w:ascii="Open Sans Light" w:hAnsi="Open Sans Light"/>
                <w:sz w:val="22"/>
              </w:rPr>
              <w:t>fails/ “Brexit” is delayed</w:t>
            </w:r>
            <w:r w:rsidR="00FE4D0C">
              <w:rPr>
                <w:rFonts w:ascii="Open Sans Light" w:hAnsi="Open Sans Light"/>
                <w:sz w:val="22"/>
              </w:rPr>
              <w:t>.</w:t>
            </w:r>
          </w:p>
          <w:p w14:paraId="1516D637" w14:textId="3B5EE64B" w:rsidR="00B220FD" w:rsidRDefault="00B220FD" w:rsidP="00B220FD">
            <w:pPr>
              <w:spacing w:before="120" w:after="120"/>
              <w:jc w:val="both"/>
              <w:rPr>
                <w:rFonts w:ascii="Open Sans Light" w:hAnsi="Open Sans Light"/>
                <w:sz w:val="22"/>
              </w:rPr>
            </w:pPr>
            <w:r>
              <w:rPr>
                <w:rFonts w:ascii="Open Sans Light" w:hAnsi="Open Sans Light"/>
                <w:sz w:val="22"/>
              </w:rPr>
              <w:t>The corollary has been a sell</w:t>
            </w:r>
            <w:r w:rsidR="00FE4D0C">
              <w:rPr>
                <w:rFonts w:ascii="Open Sans Light" w:hAnsi="Open Sans Light"/>
                <w:sz w:val="22"/>
              </w:rPr>
              <w:t>-off of c. 5%-10% in an equally diverse group of</w:t>
            </w:r>
            <w:r>
              <w:rPr>
                <w:rFonts w:ascii="Open Sans Light" w:hAnsi="Open Sans Light"/>
                <w:sz w:val="22"/>
              </w:rPr>
              <w:t xml:space="preserve"> global multinationals, </w:t>
            </w:r>
            <w:r w:rsidR="00FE4D0C">
              <w:rPr>
                <w:rFonts w:ascii="Open Sans Light" w:hAnsi="Open Sans Light"/>
                <w:sz w:val="22"/>
              </w:rPr>
              <w:t>the very large cap stocks that largely determine</w:t>
            </w:r>
            <w:r w:rsidR="00603BEB">
              <w:rPr>
                <w:rFonts w:ascii="Open Sans Light" w:hAnsi="Open Sans Light"/>
                <w:sz w:val="22"/>
              </w:rPr>
              <w:t xml:space="preserve"> blue chip</w:t>
            </w:r>
            <w:bookmarkStart w:id="0" w:name="_GoBack"/>
            <w:bookmarkEnd w:id="0"/>
            <w:r w:rsidR="00FE4D0C">
              <w:rPr>
                <w:rFonts w:ascii="Open Sans Light" w:hAnsi="Open Sans Light"/>
                <w:sz w:val="22"/>
              </w:rPr>
              <w:t xml:space="preserve"> index performance. This group would recover quickly if the vote fails.</w:t>
            </w:r>
          </w:p>
          <w:p w14:paraId="1AC6EAC8" w14:textId="7CFAC4DA" w:rsidR="00FE4D0C" w:rsidRDefault="00E372CB" w:rsidP="00B220FD">
            <w:pPr>
              <w:spacing w:before="120" w:after="120"/>
              <w:jc w:val="both"/>
              <w:rPr>
                <w:rFonts w:ascii="Open Sans Light" w:hAnsi="Open Sans Light"/>
                <w:sz w:val="22"/>
              </w:rPr>
            </w:pPr>
            <w:r>
              <w:rPr>
                <w:rFonts w:ascii="Open Sans Light" w:hAnsi="Open Sans Light"/>
                <w:sz w:val="22"/>
              </w:rPr>
              <w:t>T</w:t>
            </w:r>
            <w:r w:rsidR="00FE4D0C">
              <w:rPr>
                <w:rFonts w:ascii="Open Sans Light" w:hAnsi="Open Sans Light"/>
                <w:sz w:val="22"/>
              </w:rPr>
              <w:t xml:space="preserve">he vote could fail and portfolios would be back to the situation since the 2016 Brexit vote, with global multinationals delivering returns and UK companies lagging. </w:t>
            </w:r>
            <w:r w:rsidR="00603BEB">
              <w:rPr>
                <w:rFonts w:ascii="Open Sans Light" w:hAnsi="Open Sans Light"/>
                <w:sz w:val="22"/>
              </w:rPr>
              <w:t xml:space="preserve"> Conversely a successful vote could see further upside in UK companies (2%-5%) and similar reduced downside in multinationals. </w:t>
            </w:r>
          </w:p>
          <w:p w14:paraId="4329FDEE" w14:textId="77777777" w:rsidR="00B220FD" w:rsidRDefault="00B220FD" w:rsidP="00B220FD">
            <w:pPr>
              <w:spacing w:before="120" w:after="120"/>
              <w:jc w:val="both"/>
              <w:rPr>
                <w:rFonts w:ascii="Open Sans Light" w:hAnsi="Open Sans Light"/>
                <w:sz w:val="22"/>
              </w:rPr>
            </w:pPr>
          </w:p>
          <w:p w14:paraId="63EF1292" w14:textId="77777777" w:rsidR="00B220FD" w:rsidRPr="00B220FD" w:rsidRDefault="00B220FD" w:rsidP="00B220FD">
            <w:pPr>
              <w:spacing w:before="120" w:after="120"/>
              <w:jc w:val="both"/>
              <w:rPr>
                <w:rFonts w:ascii="Open Sans Light" w:hAnsi="Open Sans Light"/>
                <w:sz w:val="22"/>
              </w:rPr>
            </w:pPr>
          </w:p>
          <w:p w14:paraId="66E6243E" w14:textId="03D44C00" w:rsidR="00705D46" w:rsidRPr="0023074E" w:rsidRDefault="00705D46" w:rsidP="00552F05">
            <w:pPr>
              <w:spacing w:before="120" w:after="120"/>
              <w:jc w:val="both"/>
              <w:rPr>
                <w:rFonts w:ascii="Open Sans Light" w:hAnsi="Open Sans Light"/>
                <w:sz w:val="22"/>
              </w:rPr>
            </w:pPr>
          </w:p>
        </w:tc>
      </w:tr>
      <w:tr w:rsidR="001B10A5" w:rsidRPr="001B10A5" w14:paraId="1F93BB74" w14:textId="77777777" w:rsidTr="0072537A">
        <w:tblPrEx>
          <w:jc w:val="center"/>
          <w:tblCellMar>
            <w:left w:w="108" w:type="dxa"/>
            <w:right w:w="108" w:type="dxa"/>
          </w:tblCellMar>
        </w:tblPrEx>
        <w:trPr>
          <w:jc w:val="center"/>
        </w:trPr>
        <w:tc>
          <w:tcPr>
            <w:tcW w:w="10163" w:type="dxa"/>
            <w:gridSpan w:val="4"/>
            <w:shd w:val="clear" w:color="auto" w:fill="005E2A"/>
          </w:tcPr>
          <w:p w14:paraId="0A7758BB" w14:textId="52B2507E" w:rsidR="001B10A5" w:rsidRPr="00A00010" w:rsidRDefault="0014734B" w:rsidP="005C28B1">
            <w:pPr>
              <w:spacing w:before="120" w:after="120"/>
              <w:jc w:val="center"/>
              <w:rPr>
                <w:rFonts w:ascii="Open Sans Light" w:hAnsi="Open Sans Light"/>
                <w:color w:val="404040" w:themeColor="text1" w:themeTint="BF"/>
              </w:rPr>
            </w:pPr>
            <w:r w:rsidRPr="0014734B">
              <w:rPr>
                <w:rFonts w:ascii="Open Sans Light" w:hAnsi="Open Sans Light"/>
                <w:color w:val="FFFFFF" w:themeColor="background1"/>
              </w:rPr>
              <w:lastRenderedPageBreak/>
              <w:t xml:space="preserve">Collins </w:t>
            </w:r>
            <w:r w:rsidR="005C28B1">
              <w:rPr>
                <w:rFonts w:ascii="Open Sans Light" w:hAnsi="Open Sans Light"/>
                <w:color w:val="FFFFFF" w:themeColor="background1"/>
              </w:rPr>
              <w:t xml:space="preserve">Sarri Statham Investments Ltd </w:t>
            </w:r>
          </w:p>
        </w:tc>
      </w:tr>
      <w:tr w:rsidR="001B10A5" w:rsidRPr="001B10A5" w14:paraId="061A2B55" w14:textId="77777777" w:rsidTr="0072537A">
        <w:tblPrEx>
          <w:jc w:val="center"/>
          <w:tblCellMar>
            <w:left w:w="108" w:type="dxa"/>
            <w:right w:w="108" w:type="dxa"/>
          </w:tblCellMar>
        </w:tblPrEx>
        <w:trPr>
          <w:trHeight w:val="3294"/>
          <w:jc w:val="center"/>
        </w:trPr>
        <w:tc>
          <w:tcPr>
            <w:tcW w:w="10163" w:type="dxa"/>
            <w:gridSpan w:val="4"/>
          </w:tcPr>
          <w:tbl>
            <w:tblPr>
              <w:tblStyle w:val="TableGrid"/>
              <w:tblW w:w="1066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6"/>
            </w:tblGrid>
            <w:tr w:rsidR="005C28B1" w14:paraId="41F9FA11" w14:textId="77777777" w:rsidTr="003F071D">
              <w:trPr>
                <w:trHeight w:val="1516"/>
                <w:jc w:val="center"/>
              </w:trPr>
              <w:tc>
                <w:tcPr>
                  <w:tcW w:w="10666" w:type="dxa"/>
                </w:tcPr>
                <w:p w14:paraId="29FB9BCD" w14:textId="77777777" w:rsidR="005C28B1" w:rsidRDefault="005C28B1" w:rsidP="005C28B1">
                  <w:pPr>
                    <w:spacing w:before="120"/>
                    <w:jc w:val="both"/>
                    <w:rPr>
                      <w:rFonts w:ascii="Open Sans" w:hAnsi="Open Sans"/>
                      <w:b/>
                      <w:bCs/>
                      <w:color w:val="005D2A"/>
                      <w:sz w:val="19"/>
                      <w:szCs w:val="19"/>
                    </w:rPr>
                  </w:pPr>
                  <w:r>
                    <w:rPr>
                      <w:rFonts w:ascii="Open Sans" w:hAnsi="Open Sans"/>
                      <w:b/>
                      <w:bCs/>
                      <w:color w:val="005D2A"/>
                      <w:sz w:val="19"/>
                      <w:szCs w:val="19"/>
                    </w:rPr>
                    <w:t xml:space="preserve">ANALYST CERTIFICATION: </w:t>
                  </w:r>
                </w:p>
                <w:p w14:paraId="7CC3CC3A" w14:textId="2384BA58" w:rsidR="0047620D" w:rsidRDefault="005C28B1" w:rsidP="005C28B1">
                  <w:pPr>
                    <w:spacing w:before="120"/>
                    <w:jc w:val="both"/>
                    <w:rPr>
                      <w:rFonts w:ascii="Open Sans" w:hAnsi="Open Sans"/>
                      <w:color w:val="404040" w:themeColor="text1" w:themeTint="BF"/>
                      <w:sz w:val="19"/>
                      <w:szCs w:val="19"/>
                    </w:rPr>
                  </w:pPr>
                  <w:r>
                    <w:rPr>
                      <w:rFonts w:ascii="Open Sans" w:hAnsi="Open Sans"/>
                      <w:color w:val="404040" w:themeColor="text1" w:themeTint="BF"/>
                      <w:sz w:val="19"/>
                      <w:szCs w:val="19"/>
                    </w:rPr>
                    <w:t>The report’s author certifies that this research report accurately states his personal views about the subject securities, which is reflected in the ratings as well as</w:t>
                  </w:r>
                  <w:r w:rsidR="0058116B">
                    <w:rPr>
                      <w:rFonts w:ascii="Open Sans" w:hAnsi="Open Sans"/>
                      <w:color w:val="404040" w:themeColor="text1" w:themeTint="BF"/>
                      <w:sz w:val="19"/>
                      <w:szCs w:val="19"/>
                    </w:rPr>
                    <w:t xml:space="preserve"> the substance of the reports. </w:t>
                  </w:r>
                </w:p>
                <w:p w14:paraId="4978A694" w14:textId="77777777" w:rsidR="005C28B1" w:rsidRDefault="005C28B1" w:rsidP="005C28B1">
                  <w:pPr>
                    <w:spacing w:before="120"/>
                    <w:jc w:val="both"/>
                    <w:rPr>
                      <w:rFonts w:ascii="Open Sans" w:hAnsi="Open Sans"/>
                      <w:b/>
                      <w:bCs/>
                      <w:color w:val="005D2A"/>
                      <w:sz w:val="19"/>
                      <w:szCs w:val="19"/>
                    </w:rPr>
                  </w:pPr>
                  <w:r>
                    <w:rPr>
                      <w:rFonts w:ascii="Open Sans" w:hAnsi="Open Sans"/>
                      <w:b/>
                      <w:bCs/>
                      <w:color w:val="005D2A"/>
                      <w:sz w:val="19"/>
                      <w:szCs w:val="19"/>
                    </w:rPr>
                    <w:t>RECOMMENDATIONS: </w:t>
                  </w:r>
                </w:p>
                <w:p w14:paraId="349B5070" w14:textId="77777777" w:rsidR="005C28B1" w:rsidRDefault="005C28B1" w:rsidP="005C28B1">
                  <w:pPr>
                    <w:spacing w:before="120"/>
                    <w:jc w:val="both"/>
                    <w:rPr>
                      <w:rFonts w:ascii="Open Sans" w:hAnsi="Open Sans"/>
                      <w:color w:val="404040" w:themeColor="text1" w:themeTint="BF"/>
                      <w:sz w:val="19"/>
                      <w:szCs w:val="19"/>
                    </w:rPr>
                  </w:pPr>
                  <w:r>
                    <w:rPr>
                      <w:rFonts w:ascii="Open Sans" w:hAnsi="Open Sans"/>
                      <w:color w:val="404040" w:themeColor="text1" w:themeTint="BF"/>
                      <w:sz w:val="19"/>
                      <w:szCs w:val="19"/>
                    </w:rPr>
                    <w:t>Collins Sarri Statham Investments Ltd (CSS) does not in any of its publications take into account any particular recipient's investment objectives, financial situation, and specific needs and demands. Therefore, all CSS publications are, unless otherwise specifically stated, intended for informational and/or marketing purposes only.CSS shall not be responsible for any loss arising from any investment based on a perceived recommendation.</w:t>
                  </w:r>
                </w:p>
                <w:p w14:paraId="456995E7" w14:textId="77777777" w:rsidR="005C28B1" w:rsidRDefault="005C28B1" w:rsidP="005C28B1">
                  <w:pPr>
                    <w:spacing w:before="120"/>
                    <w:jc w:val="both"/>
                    <w:rPr>
                      <w:rFonts w:ascii="Open Sans" w:hAnsi="Open Sans"/>
                      <w:color w:val="404040" w:themeColor="text1" w:themeTint="BF"/>
                      <w:sz w:val="19"/>
                      <w:szCs w:val="19"/>
                    </w:rPr>
                  </w:pPr>
                  <w:r>
                    <w:rPr>
                      <w:rFonts w:ascii="Open Sans" w:hAnsi="Open Sans"/>
                      <w:color w:val="404040" w:themeColor="text1" w:themeTint="BF"/>
                      <w:sz w:val="19"/>
                      <w:szCs w:val="19"/>
                    </w:rPr>
                    <w:t>No publication (including recommendations) shall be construed as a representation or warranty that the recipient will profit, nor avoid sustaining losses, from trading in accordance with a trading strategy set forth in a publication.</w:t>
                  </w:r>
                </w:p>
                <w:p w14:paraId="7EA8A81D" w14:textId="77777777" w:rsidR="005C28B1" w:rsidRDefault="005C28B1" w:rsidP="005C28B1">
                  <w:pPr>
                    <w:spacing w:before="120"/>
                    <w:jc w:val="both"/>
                    <w:rPr>
                      <w:rFonts w:ascii="Open Sans" w:hAnsi="Open Sans"/>
                      <w:color w:val="404040" w:themeColor="text1" w:themeTint="BF"/>
                      <w:sz w:val="19"/>
                      <w:szCs w:val="19"/>
                    </w:rPr>
                  </w:pPr>
                  <w:r>
                    <w:rPr>
                      <w:rFonts w:ascii="Open Sans" w:hAnsi="Open Sans"/>
                      <w:color w:val="404040" w:themeColor="text1" w:themeTint="BF"/>
                      <w:sz w:val="19"/>
                      <w:szCs w:val="19"/>
                    </w:rPr>
                    <w:t>This research is non-independent and is classified as a Marketing Communication under FCA rules detailed in their Conduct of Business Rulebook (COBS). As such it has not been prepared in accordance with legal requirements designed to promote independence of investment research and it is not subject to the prohibition of dealing ahead of the dissemination of investment research outlined in COBS 12.2.18.</w:t>
                  </w:r>
                </w:p>
                <w:p w14:paraId="274661A3" w14:textId="77777777" w:rsidR="005C28B1" w:rsidRDefault="005C28B1" w:rsidP="005C28B1">
                  <w:pPr>
                    <w:spacing w:before="120"/>
                    <w:jc w:val="both"/>
                    <w:rPr>
                      <w:rFonts w:ascii="Open Sans" w:hAnsi="Open Sans"/>
                      <w:b/>
                      <w:color w:val="005D2A"/>
                      <w:sz w:val="19"/>
                      <w:szCs w:val="19"/>
                    </w:rPr>
                  </w:pPr>
                  <w:r>
                    <w:rPr>
                      <w:rFonts w:ascii="Open Sans" w:hAnsi="Open Sans"/>
                      <w:b/>
                      <w:color w:val="005D2A"/>
                      <w:sz w:val="19"/>
                      <w:szCs w:val="19"/>
                    </w:rPr>
                    <w:t>RISK WARNING:</w:t>
                  </w:r>
                </w:p>
                <w:p w14:paraId="521C82DB" w14:textId="77777777" w:rsidR="005C28B1" w:rsidRDefault="005C28B1" w:rsidP="005C28B1">
                  <w:pPr>
                    <w:spacing w:before="120"/>
                    <w:jc w:val="both"/>
                    <w:rPr>
                      <w:rFonts w:ascii="Open Sans" w:hAnsi="Open Sans"/>
                      <w:color w:val="404040" w:themeColor="text1" w:themeTint="BF"/>
                      <w:sz w:val="19"/>
                      <w:szCs w:val="19"/>
                    </w:rPr>
                  </w:pPr>
                  <w:r>
                    <w:rPr>
                      <w:rFonts w:ascii="Open Sans" w:hAnsi="Open Sans"/>
                      <w:color w:val="404040" w:themeColor="text1" w:themeTint="BF"/>
                      <w:sz w:val="19"/>
                      <w:szCs w:val="19"/>
                    </w:rPr>
                    <w:t xml:space="preserve">Trading in the products and services offered by Collins Sarri Statham Investments Ltd (CSS) may, result in losses as well as profits as the value of investments may go down as well as up. You may not get back the full amount you have invested. Any reference to past performance should not be viewed as an indication of any future performance. Investments held in overseas markets are subject to the effects of changes in exchange rates which will impact on the value of the underlying investment. Leveraged products such as Contracts for Difference (CFDs), derivatives, commodities &amp; Foreign Exchange (FX), carry a higher risk to your capital. They can lose their value rapidly and you may lose substantially more than your initial investment. </w:t>
                  </w:r>
                </w:p>
                <w:p w14:paraId="2AD4E0D4" w14:textId="77777777" w:rsidR="005C28B1" w:rsidRDefault="005C28B1" w:rsidP="005C28B1">
                  <w:pPr>
                    <w:spacing w:before="120"/>
                    <w:jc w:val="both"/>
                    <w:rPr>
                      <w:rFonts w:ascii="Open Sans" w:hAnsi="Open Sans"/>
                      <w:b/>
                      <w:color w:val="005D2A"/>
                      <w:sz w:val="19"/>
                      <w:szCs w:val="19"/>
                    </w:rPr>
                  </w:pPr>
                  <w:r>
                    <w:rPr>
                      <w:rFonts w:ascii="Open Sans" w:hAnsi="Open Sans"/>
                      <w:b/>
                      <w:color w:val="005D2A"/>
                      <w:sz w:val="19"/>
                      <w:szCs w:val="19"/>
                    </w:rPr>
                    <w:t xml:space="preserve">SPECULATIVE TRADING IS NOT SUITABLE FOR ALL INVESTORS. </w:t>
                  </w:r>
                </w:p>
                <w:p w14:paraId="427C9F59" w14:textId="4D9D099D" w:rsidR="003F071D" w:rsidRDefault="005C28B1" w:rsidP="005C28B1">
                  <w:pPr>
                    <w:spacing w:before="120"/>
                    <w:jc w:val="both"/>
                    <w:rPr>
                      <w:rFonts w:ascii="Open Sans" w:hAnsi="Open Sans"/>
                      <w:color w:val="404040" w:themeColor="text1" w:themeTint="BF"/>
                      <w:sz w:val="19"/>
                      <w:szCs w:val="19"/>
                    </w:rPr>
                  </w:pPr>
                  <w:r>
                    <w:rPr>
                      <w:rFonts w:ascii="Open Sans" w:hAnsi="Open Sans"/>
                      <w:color w:val="404040" w:themeColor="text1" w:themeTint="BF"/>
                      <w:sz w:val="19"/>
                      <w:szCs w:val="19"/>
                    </w:rPr>
                    <w:t>The information contained herein is based on materials and sources that we believe to be reliable however we make no representation or warranty, either express or implied, in relation to the accuracy, completeness or reliability of the information contained herein. Please note that the figures shown may, in some instances, be rounded to the nearest penny. Prices can move sharply from those quoted in this document. Current prices can be verified by calling one of our brokers. CSS is under no obligation to update the information contained herein. Neither CSS, nor its affiliates, nor its employees shall have any liability whatsoever for any indirect or consequential loss or damage arising from the use of this document.</w:t>
                  </w:r>
                </w:p>
              </w:tc>
            </w:tr>
            <w:tr w:rsidR="005C28B1" w14:paraId="16BE045D" w14:textId="77777777" w:rsidTr="003F071D">
              <w:trPr>
                <w:trHeight w:val="1516"/>
                <w:jc w:val="center"/>
              </w:trPr>
              <w:tc>
                <w:tcPr>
                  <w:tcW w:w="10666" w:type="dxa"/>
                </w:tcPr>
                <w:p w14:paraId="2DFB24C2" w14:textId="77777777" w:rsidR="005C28B1" w:rsidRDefault="005C28B1">
                  <w:pPr>
                    <w:spacing w:before="120"/>
                    <w:jc w:val="both"/>
                    <w:rPr>
                      <w:rFonts w:ascii="Open Sans" w:hAnsi="Open Sans"/>
                      <w:b/>
                      <w:color w:val="005D2A"/>
                      <w:sz w:val="19"/>
                      <w:szCs w:val="19"/>
                    </w:rPr>
                  </w:pPr>
                </w:p>
              </w:tc>
            </w:tr>
          </w:tbl>
          <w:p w14:paraId="3626B5D3" w14:textId="2665E3F9" w:rsidR="0014734B" w:rsidRPr="0014734B" w:rsidRDefault="0014734B" w:rsidP="00882411">
            <w:pPr>
              <w:spacing w:before="120"/>
              <w:jc w:val="both"/>
              <w:rPr>
                <w:rFonts w:ascii="Open Sans" w:hAnsi="Open Sans"/>
                <w:color w:val="404040" w:themeColor="text1" w:themeTint="BF"/>
                <w:sz w:val="19"/>
                <w:szCs w:val="19"/>
              </w:rPr>
            </w:pPr>
          </w:p>
        </w:tc>
      </w:tr>
    </w:tbl>
    <w:p w14:paraId="34FD20E4" w14:textId="77777777" w:rsidR="001B10A5" w:rsidRDefault="001B10A5" w:rsidP="0014734B"/>
    <w:sectPr w:rsidR="001B10A5" w:rsidSect="008465E7">
      <w:footerReference w:type="default" r:id="rId10"/>
      <w:pgSz w:w="11900" w:h="16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767B44" w14:textId="77777777" w:rsidR="00FE4D0C" w:rsidRDefault="00FE4D0C" w:rsidP="00562901">
      <w:r>
        <w:separator/>
      </w:r>
    </w:p>
  </w:endnote>
  <w:endnote w:type="continuationSeparator" w:id="0">
    <w:p w14:paraId="34CEA447" w14:textId="77777777" w:rsidR="00FE4D0C" w:rsidRDefault="00FE4D0C" w:rsidP="00562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Open Sans Light">
    <w:altName w:val="Corbel"/>
    <w:charset w:val="00"/>
    <w:family w:val="auto"/>
    <w:pitch w:val="variable"/>
    <w:sig w:usb0="00000001" w:usb1="4000205B" w:usb2="00000028" w:usb3="00000000" w:csb0="0000019F" w:csb1="00000000"/>
  </w:font>
  <w:font w:name="Open Sans Semibold">
    <w:altName w:val="Segoe UI Semibold"/>
    <w:charset w:val="00"/>
    <w:family w:val="auto"/>
    <w:pitch w:val="variable"/>
    <w:sig w:usb0="00000001" w:usb1="4000205B" w:usb2="00000028" w:usb3="00000000" w:csb0="0000019F" w:csb1="00000000"/>
  </w:font>
  <w:font w:name="Open Sans">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A497E4" w14:textId="1262A1DD" w:rsidR="00FE4D0C" w:rsidRPr="00123BB8" w:rsidRDefault="00FE4D0C" w:rsidP="00FD7BFE">
    <w:pPr>
      <w:pStyle w:val="Footer"/>
      <w:spacing w:line="276" w:lineRule="auto"/>
      <w:jc w:val="center"/>
      <w:rPr>
        <w:rFonts w:ascii="Open Sans Semibold" w:hAnsi="Open Sans Semibold"/>
        <w:b/>
        <w:bCs/>
        <w:color w:val="005E2A"/>
        <w:sz w:val="18"/>
      </w:rPr>
    </w:pPr>
    <w:r w:rsidRPr="00123BB8">
      <w:rPr>
        <w:rFonts w:ascii="Open Sans Semibold" w:hAnsi="Open Sans Semibold"/>
        <w:b/>
        <w:bCs/>
        <w:color w:val="005E2A"/>
        <w:sz w:val="18"/>
      </w:rPr>
      <w:t>Collins</w:t>
    </w:r>
    <w:r>
      <w:rPr>
        <w:rFonts w:ascii="Open Sans Semibold" w:hAnsi="Open Sans Semibold"/>
        <w:b/>
        <w:bCs/>
        <w:color w:val="005E2A"/>
        <w:sz w:val="18"/>
      </w:rPr>
      <w:t xml:space="preserve"> Sarri Statham Investments Ltd.</w:t>
    </w:r>
    <w:r w:rsidRPr="00123BB8">
      <w:rPr>
        <w:rFonts w:ascii="Open Sans Semibold" w:hAnsi="Open Sans Semibold"/>
        <w:b/>
        <w:bCs/>
        <w:color w:val="005E2A"/>
        <w:sz w:val="18"/>
      </w:rPr>
      <w:t xml:space="preserve"> </w:t>
    </w:r>
    <w:proofErr w:type="spellStart"/>
    <w:r>
      <w:rPr>
        <w:rFonts w:ascii="Open Sans Semibold" w:hAnsi="Open Sans Semibold"/>
        <w:b/>
        <w:bCs/>
        <w:color w:val="005E2A"/>
        <w:sz w:val="18"/>
      </w:rPr>
      <w:t>CityPoint</w:t>
    </w:r>
    <w:proofErr w:type="spellEnd"/>
    <w:r>
      <w:rPr>
        <w:rFonts w:ascii="Open Sans Semibold" w:hAnsi="Open Sans Semibold"/>
        <w:b/>
        <w:bCs/>
        <w:color w:val="005E2A"/>
        <w:sz w:val="18"/>
      </w:rPr>
      <w:t xml:space="preserve"> Building, 1</w:t>
    </w:r>
    <w:r w:rsidRPr="00123BB8">
      <w:rPr>
        <w:rFonts w:ascii="Open Sans Semibold" w:hAnsi="Open Sans Semibold"/>
        <w:b/>
        <w:bCs/>
        <w:color w:val="005E2A"/>
        <w:sz w:val="18"/>
      </w:rPr>
      <w:t xml:space="preserve"> </w:t>
    </w:r>
    <w:proofErr w:type="spellStart"/>
    <w:r>
      <w:rPr>
        <w:rFonts w:ascii="Open Sans Semibold" w:hAnsi="Open Sans Semibold"/>
        <w:b/>
        <w:bCs/>
        <w:color w:val="005E2A"/>
        <w:sz w:val="18"/>
      </w:rPr>
      <w:t>Ropemaker</w:t>
    </w:r>
    <w:proofErr w:type="spellEnd"/>
    <w:r>
      <w:rPr>
        <w:rFonts w:ascii="Open Sans Semibold" w:hAnsi="Open Sans Semibold"/>
        <w:b/>
        <w:bCs/>
        <w:color w:val="005E2A"/>
        <w:sz w:val="18"/>
      </w:rPr>
      <w:t xml:space="preserve"> Street, London EC2Y</w:t>
    </w:r>
    <w:r w:rsidRPr="00123BB8">
      <w:rPr>
        <w:rFonts w:ascii="Open Sans Semibold" w:hAnsi="Open Sans Semibold"/>
        <w:b/>
        <w:bCs/>
        <w:color w:val="005E2A"/>
        <w:sz w:val="18"/>
      </w:rPr>
      <w:t xml:space="preserve"> </w:t>
    </w:r>
    <w:r>
      <w:rPr>
        <w:rFonts w:ascii="Open Sans Semibold" w:hAnsi="Open Sans Semibold"/>
        <w:b/>
        <w:bCs/>
        <w:color w:val="005E2A"/>
        <w:sz w:val="18"/>
      </w:rPr>
      <w:t>9HT</w:t>
    </w:r>
  </w:p>
  <w:p w14:paraId="24640416" w14:textId="6E122720" w:rsidR="00FE4D0C" w:rsidRPr="00123BB8" w:rsidRDefault="00FE4D0C" w:rsidP="00FD7BFE">
    <w:pPr>
      <w:pStyle w:val="Footer"/>
      <w:spacing w:line="276" w:lineRule="auto"/>
      <w:jc w:val="center"/>
      <w:rPr>
        <w:rFonts w:ascii="Open Sans Light" w:hAnsi="Open Sans Light"/>
        <w:sz w:val="18"/>
      </w:rPr>
    </w:pPr>
    <w:r w:rsidRPr="00123BB8">
      <w:rPr>
        <w:rFonts w:ascii="Open Sans Semibold" w:hAnsi="Open Sans Semibold"/>
        <w:b/>
        <w:bCs/>
        <w:sz w:val="18"/>
      </w:rPr>
      <w:t>T</w:t>
    </w:r>
    <w:r>
      <w:rPr>
        <w:rFonts w:ascii="Open Sans Light" w:hAnsi="Open Sans Light"/>
        <w:sz w:val="18"/>
      </w:rPr>
      <w:t xml:space="preserve"> +44 (0)20 7153 1120 </w:t>
    </w:r>
    <w:r w:rsidRPr="00123BB8">
      <w:rPr>
        <w:rFonts w:ascii="Open Sans Light" w:hAnsi="Open Sans Light"/>
        <w:sz w:val="18"/>
      </w:rPr>
      <w:t xml:space="preserve">  </w:t>
    </w:r>
    <w:r w:rsidRPr="00123BB8">
      <w:rPr>
        <w:rFonts w:ascii="Open Sans Semibold" w:hAnsi="Open Sans Semibold"/>
        <w:b/>
        <w:bCs/>
        <w:sz w:val="18"/>
      </w:rPr>
      <w:t>W</w:t>
    </w:r>
    <w:r w:rsidRPr="00123BB8">
      <w:rPr>
        <w:rFonts w:ascii="Open Sans Light" w:hAnsi="Open Sans Light"/>
        <w:sz w:val="18"/>
      </w:rPr>
      <w:t xml:space="preserve"> www.css-</w:t>
    </w:r>
    <w:proofErr w:type="gramStart"/>
    <w:r w:rsidRPr="00123BB8">
      <w:rPr>
        <w:rFonts w:ascii="Open Sans Light" w:hAnsi="Open Sans Light"/>
        <w:sz w:val="18"/>
      </w:rPr>
      <w:t xml:space="preserve">investments.com  </w:t>
    </w:r>
    <w:r w:rsidRPr="00123BB8">
      <w:rPr>
        <w:rFonts w:ascii="Open Sans Semibold" w:hAnsi="Open Sans Semibold"/>
        <w:b/>
        <w:bCs/>
        <w:sz w:val="18"/>
      </w:rPr>
      <w:t>E</w:t>
    </w:r>
    <w:proofErr w:type="gramEnd"/>
    <w:r w:rsidRPr="00123BB8">
      <w:rPr>
        <w:rFonts w:ascii="Open Sans Light" w:hAnsi="Open Sans Light"/>
        <w:sz w:val="18"/>
      </w:rPr>
      <w:t xml:space="preserve"> info@css-investments.com</w:t>
    </w:r>
  </w:p>
  <w:p w14:paraId="3E4E0E4A" w14:textId="63FB27B7" w:rsidR="00FE4D0C" w:rsidRPr="00123BB8" w:rsidRDefault="00FE4D0C" w:rsidP="00FD7BFE">
    <w:pPr>
      <w:pStyle w:val="Footer"/>
      <w:spacing w:line="276" w:lineRule="auto"/>
      <w:jc w:val="center"/>
      <w:rPr>
        <w:rFonts w:ascii="Open Sans Light" w:hAnsi="Open Sans Light"/>
        <w:sz w:val="18"/>
      </w:rPr>
    </w:pPr>
    <w:r w:rsidRPr="00123BB8">
      <w:rPr>
        <w:rFonts w:ascii="Open Sans Light" w:hAnsi="Open Sans Light"/>
        <w:sz w:val="18"/>
      </w:rPr>
      <w:t xml:space="preserve">Collins </w:t>
    </w:r>
    <w:r>
      <w:rPr>
        <w:rFonts w:ascii="Open Sans Light" w:hAnsi="Open Sans Light"/>
        <w:sz w:val="18"/>
      </w:rPr>
      <w:t>Sarri Statham Investments Ltd i</w:t>
    </w:r>
    <w:r w:rsidRPr="00123BB8">
      <w:rPr>
        <w:rFonts w:ascii="Open Sans Light" w:hAnsi="Open Sans Light"/>
        <w:sz w:val="18"/>
      </w:rPr>
      <w:t xml:space="preserve">s </w:t>
    </w:r>
    <w:proofErr w:type="spellStart"/>
    <w:r w:rsidRPr="00123BB8">
      <w:rPr>
        <w:rFonts w:ascii="Open Sans Light" w:hAnsi="Open Sans Light"/>
        <w:sz w:val="18"/>
      </w:rPr>
      <w:t>authorised</w:t>
    </w:r>
    <w:proofErr w:type="spellEnd"/>
    <w:r w:rsidRPr="00123BB8">
      <w:rPr>
        <w:rFonts w:ascii="Open Sans Light" w:hAnsi="Open Sans Light"/>
        <w:sz w:val="18"/>
      </w:rPr>
      <w:t xml:space="preserve"> and regulated by the Financial Conduct Authority (Registration no. 483868). Registered in England and Wales (Company no. 6539190)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20A047" w14:textId="77777777" w:rsidR="00FE4D0C" w:rsidRDefault="00FE4D0C" w:rsidP="00562901">
      <w:r>
        <w:separator/>
      </w:r>
    </w:p>
  </w:footnote>
  <w:footnote w:type="continuationSeparator" w:id="0">
    <w:p w14:paraId="786761AA" w14:textId="77777777" w:rsidR="00FE4D0C" w:rsidRDefault="00FE4D0C" w:rsidP="005629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64DF"/>
    <w:multiLevelType w:val="hybridMultilevel"/>
    <w:tmpl w:val="A98294F0"/>
    <w:lvl w:ilvl="0" w:tplc="C358A1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0E178E"/>
    <w:multiLevelType w:val="hybridMultilevel"/>
    <w:tmpl w:val="A4D02C08"/>
    <w:lvl w:ilvl="0" w:tplc="EA38F69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8956AD3"/>
    <w:multiLevelType w:val="hybridMultilevel"/>
    <w:tmpl w:val="96B4DD74"/>
    <w:lvl w:ilvl="0" w:tplc="E9D89F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9830C3"/>
    <w:multiLevelType w:val="hybridMultilevel"/>
    <w:tmpl w:val="CFA68B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2868FC"/>
    <w:multiLevelType w:val="hybridMultilevel"/>
    <w:tmpl w:val="9244B3A0"/>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1B2E5831"/>
    <w:multiLevelType w:val="hybridMultilevel"/>
    <w:tmpl w:val="AC6C49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19334A1"/>
    <w:multiLevelType w:val="hybridMultilevel"/>
    <w:tmpl w:val="783C2E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1BC6D54"/>
    <w:multiLevelType w:val="hybridMultilevel"/>
    <w:tmpl w:val="157EC35A"/>
    <w:lvl w:ilvl="0" w:tplc="79D8F7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A37F5C"/>
    <w:multiLevelType w:val="hybridMultilevel"/>
    <w:tmpl w:val="5FDCEDD2"/>
    <w:lvl w:ilvl="0" w:tplc="8B688EA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8F45697"/>
    <w:multiLevelType w:val="hybridMultilevel"/>
    <w:tmpl w:val="04C0BB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6B24C8"/>
    <w:multiLevelType w:val="hybridMultilevel"/>
    <w:tmpl w:val="ADD2EC5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BE1B2E"/>
    <w:multiLevelType w:val="hybridMultilevel"/>
    <w:tmpl w:val="B654699A"/>
    <w:lvl w:ilvl="0" w:tplc="0840F05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C7103D7"/>
    <w:multiLevelType w:val="hybridMultilevel"/>
    <w:tmpl w:val="E98412E8"/>
    <w:lvl w:ilvl="0" w:tplc="0E02CA7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93F357E"/>
    <w:multiLevelType w:val="hybridMultilevel"/>
    <w:tmpl w:val="A65E0B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DEE5644"/>
    <w:multiLevelType w:val="hybridMultilevel"/>
    <w:tmpl w:val="66C61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391AE0"/>
    <w:multiLevelType w:val="hybridMultilevel"/>
    <w:tmpl w:val="9B86E3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0144410"/>
    <w:multiLevelType w:val="hybridMultilevel"/>
    <w:tmpl w:val="618A70D8"/>
    <w:lvl w:ilvl="0" w:tplc="C35C111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4162D1"/>
    <w:multiLevelType w:val="hybridMultilevel"/>
    <w:tmpl w:val="BDCAA5C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4A32DA"/>
    <w:multiLevelType w:val="hybridMultilevel"/>
    <w:tmpl w:val="FFC257EA"/>
    <w:lvl w:ilvl="0" w:tplc="9FCA96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81572EE"/>
    <w:multiLevelType w:val="hybridMultilevel"/>
    <w:tmpl w:val="B734FE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AB632D3"/>
    <w:multiLevelType w:val="hybridMultilevel"/>
    <w:tmpl w:val="82DA842C"/>
    <w:lvl w:ilvl="0" w:tplc="3A0E9CA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DFC4F7B"/>
    <w:multiLevelType w:val="hybridMultilevel"/>
    <w:tmpl w:val="9E76BA74"/>
    <w:lvl w:ilvl="0" w:tplc="EAA2E9B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BB4FA6"/>
    <w:multiLevelType w:val="hybridMultilevel"/>
    <w:tmpl w:val="DE620E4A"/>
    <w:lvl w:ilvl="0" w:tplc="345625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9F07201"/>
    <w:multiLevelType w:val="hybridMultilevel"/>
    <w:tmpl w:val="ABFC68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FB412C0"/>
    <w:multiLevelType w:val="hybridMultilevel"/>
    <w:tmpl w:val="F8FEC700"/>
    <w:lvl w:ilvl="0" w:tplc="2480B04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1422E41"/>
    <w:multiLevelType w:val="hybridMultilevel"/>
    <w:tmpl w:val="8772A988"/>
    <w:lvl w:ilvl="0" w:tplc="94167F4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438593E"/>
    <w:multiLevelType w:val="hybridMultilevel"/>
    <w:tmpl w:val="81D2ED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487429B"/>
    <w:multiLevelType w:val="hybridMultilevel"/>
    <w:tmpl w:val="2D3CD16A"/>
    <w:lvl w:ilvl="0" w:tplc="6BC624F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8F9497B"/>
    <w:multiLevelType w:val="hybridMultilevel"/>
    <w:tmpl w:val="9244B3A0"/>
    <w:lvl w:ilvl="0" w:tplc="0409001B">
      <w:start w:val="1"/>
      <w:numFmt w:val="lowerRoman"/>
      <w:lvlText w:val="%1."/>
      <w:lvlJc w:val="righ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nsid w:val="7A0E3F45"/>
    <w:multiLevelType w:val="hybridMultilevel"/>
    <w:tmpl w:val="088E8D7E"/>
    <w:lvl w:ilvl="0" w:tplc="F50A46D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A281D3D"/>
    <w:multiLevelType w:val="hybridMultilevel"/>
    <w:tmpl w:val="A88EE3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28"/>
  </w:num>
  <w:num w:numId="4">
    <w:abstractNumId w:val="14"/>
  </w:num>
  <w:num w:numId="5">
    <w:abstractNumId w:val="30"/>
  </w:num>
  <w:num w:numId="6">
    <w:abstractNumId w:val="16"/>
  </w:num>
  <w:num w:numId="7">
    <w:abstractNumId w:val="3"/>
  </w:num>
  <w:num w:numId="8">
    <w:abstractNumId w:val="12"/>
  </w:num>
  <w:num w:numId="9">
    <w:abstractNumId w:val="6"/>
  </w:num>
  <w:num w:numId="10">
    <w:abstractNumId w:val="21"/>
  </w:num>
  <w:num w:numId="11">
    <w:abstractNumId w:val="20"/>
  </w:num>
  <w:num w:numId="12">
    <w:abstractNumId w:val="17"/>
  </w:num>
  <w:num w:numId="13">
    <w:abstractNumId w:val="5"/>
  </w:num>
  <w:num w:numId="14">
    <w:abstractNumId w:val="1"/>
  </w:num>
  <w:num w:numId="15">
    <w:abstractNumId w:val="22"/>
  </w:num>
  <w:num w:numId="16">
    <w:abstractNumId w:val="15"/>
  </w:num>
  <w:num w:numId="17">
    <w:abstractNumId w:val="23"/>
  </w:num>
  <w:num w:numId="18">
    <w:abstractNumId w:val="9"/>
  </w:num>
  <w:num w:numId="19">
    <w:abstractNumId w:val="19"/>
  </w:num>
  <w:num w:numId="20">
    <w:abstractNumId w:val="13"/>
  </w:num>
  <w:num w:numId="21">
    <w:abstractNumId w:val="27"/>
  </w:num>
  <w:num w:numId="22">
    <w:abstractNumId w:val="29"/>
  </w:num>
  <w:num w:numId="23">
    <w:abstractNumId w:val="24"/>
  </w:num>
  <w:num w:numId="24">
    <w:abstractNumId w:val="8"/>
  </w:num>
  <w:num w:numId="25">
    <w:abstractNumId w:val="25"/>
  </w:num>
  <w:num w:numId="26">
    <w:abstractNumId w:val="11"/>
  </w:num>
  <w:num w:numId="27">
    <w:abstractNumId w:val="0"/>
  </w:num>
  <w:num w:numId="28">
    <w:abstractNumId w:val="10"/>
  </w:num>
  <w:num w:numId="29">
    <w:abstractNumId w:val="7"/>
  </w:num>
  <w:num w:numId="30">
    <w:abstractNumId w:val="1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20"/>
  <w:displayHorizontalDrawingGridEvery w:val="2"/>
  <w:displayVertic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0A5"/>
    <w:rsid w:val="0000025A"/>
    <w:rsid w:val="00007243"/>
    <w:rsid w:val="0001083A"/>
    <w:rsid w:val="00012602"/>
    <w:rsid w:val="000134EC"/>
    <w:rsid w:val="00014546"/>
    <w:rsid w:val="00022CAA"/>
    <w:rsid w:val="000241DA"/>
    <w:rsid w:val="0002488C"/>
    <w:rsid w:val="000261D6"/>
    <w:rsid w:val="000269C9"/>
    <w:rsid w:val="000306FB"/>
    <w:rsid w:val="00035933"/>
    <w:rsid w:val="000368AE"/>
    <w:rsid w:val="00043A64"/>
    <w:rsid w:val="00044F14"/>
    <w:rsid w:val="00050805"/>
    <w:rsid w:val="00052692"/>
    <w:rsid w:val="00052979"/>
    <w:rsid w:val="00064495"/>
    <w:rsid w:val="00065535"/>
    <w:rsid w:val="00070BF3"/>
    <w:rsid w:val="00071C38"/>
    <w:rsid w:val="0007469A"/>
    <w:rsid w:val="00074E26"/>
    <w:rsid w:val="000919C9"/>
    <w:rsid w:val="0009239B"/>
    <w:rsid w:val="0009581C"/>
    <w:rsid w:val="000A136D"/>
    <w:rsid w:val="000A426E"/>
    <w:rsid w:val="000A4945"/>
    <w:rsid w:val="000A6FC5"/>
    <w:rsid w:val="000A74AB"/>
    <w:rsid w:val="000B4577"/>
    <w:rsid w:val="000B548B"/>
    <w:rsid w:val="000B551B"/>
    <w:rsid w:val="000C0997"/>
    <w:rsid w:val="000C4453"/>
    <w:rsid w:val="000C79AC"/>
    <w:rsid w:val="000D0767"/>
    <w:rsid w:val="000D0A39"/>
    <w:rsid w:val="000D0CAB"/>
    <w:rsid w:val="000D1593"/>
    <w:rsid w:val="000E0966"/>
    <w:rsid w:val="000E51AE"/>
    <w:rsid w:val="000E7CC6"/>
    <w:rsid w:val="000F044A"/>
    <w:rsid w:val="000F18F2"/>
    <w:rsid w:val="000F25D9"/>
    <w:rsid w:val="000F318E"/>
    <w:rsid w:val="000F3DC9"/>
    <w:rsid w:val="000F68A6"/>
    <w:rsid w:val="000F73FF"/>
    <w:rsid w:val="00101061"/>
    <w:rsid w:val="00103B68"/>
    <w:rsid w:val="001050FD"/>
    <w:rsid w:val="00105369"/>
    <w:rsid w:val="001114F5"/>
    <w:rsid w:val="00123BB8"/>
    <w:rsid w:val="00125A34"/>
    <w:rsid w:val="001321B1"/>
    <w:rsid w:val="001379DB"/>
    <w:rsid w:val="0014235A"/>
    <w:rsid w:val="0014734B"/>
    <w:rsid w:val="00150254"/>
    <w:rsid w:val="00172285"/>
    <w:rsid w:val="00172D5E"/>
    <w:rsid w:val="0017502F"/>
    <w:rsid w:val="00176C03"/>
    <w:rsid w:val="001836F8"/>
    <w:rsid w:val="001845CF"/>
    <w:rsid w:val="00184C9B"/>
    <w:rsid w:val="001950D3"/>
    <w:rsid w:val="001A0E61"/>
    <w:rsid w:val="001A52C9"/>
    <w:rsid w:val="001B10A5"/>
    <w:rsid w:val="001B52C6"/>
    <w:rsid w:val="001B60A9"/>
    <w:rsid w:val="001C3904"/>
    <w:rsid w:val="001C4D9B"/>
    <w:rsid w:val="001C5E06"/>
    <w:rsid w:val="001C716A"/>
    <w:rsid w:val="001D03CB"/>
    <w:rsid w:val="001D1E9F"/>
    <w:rsid w:val="001D2E17"/>
    <w:rsid w:val="001D4E4E"/>
    <w:rsid w:val="001E1742"/>
    <w:rsid w:val="001F0564"/>
    <w:rsid w:val="001F0FFF"/>
    <w:rsid w:val="001F3789"/>
    <w:rsid w:val="001F6677"/>
    <w:rsid w:val="001F7865"/>
    <w:rsid w:val="002001F5"/>
    <w:rsid w:val="002039EC"/>
    <w:rsid w:val="00213460"/>
    <w:rsid w:val="00221341"/>
    <w:rsid w:val="0023074E"/>
    <w:rsid w:val="00230F85"/>
    <w:rsid w:val="00235068"/>
    <w:rsid w:val="002352DD"/>
    <w:rsid w:val="002366E3"/>
    <w:rsid w:val="0024002D"/>
    <w:rsid w:val="002452A6"/>
    <w:rsid w:val="002634BF"/>
    <w:rsid w:val="002645CD"/>
    <w:rsid w:val="0026610F"/>
    <w:rsid w:val="00277D20"/>
    <w:rsid w:val="00286A73"/>
    <w:rsid w:val="002923F0"/>
    <w:rsid w:val="00294FB2"/>
    <w:rsid w:val="00297DFF"/>
    <w:rsid w:val="002A0835"/>
    <w:rsid w:val="002B14C0"/>
    <w:rsid w:val="002B3996"/>
    <w:rsid w:val="002B57A9"/>
    <w:rsid w:val="002B7542"/>
    <w:rsid w:val="002B7E7A"/>
    <w:rsid w:val="002C0987"/>
    <w:rsid w:val="002C49B7"/>
    <w:rsid w:val="002E1C32"/>
    <w:rsid w:val="002E368F"/>
    <w:rsid w:val="002E4988"/>
    <w:rsid w:val="002E6EE5"/>
    <w:rsid w:val="002F0BD0"/>
    <w:rsid w:val="002F5801"/>
    <w:rsid w:val="003008F9"/>
    <w:rsid w:val="00316C13"/>
    <w:rsid w:val="003265D9"/>
    <w:rsid w:val="003342C2"/>
    <w:rsid w:val="00342554"/>
    <w:rsid w:val="003503D3"/>
    <w:rsid w:val="0035139B"/>
    <w:rsid w:val="00351593"/>
    <w:rsid w:val="00352A25"/>
    <w:rsid w:val="00366A93"/>
    <w:rsid w:val="00366C91"/>
    <w:rsid w:val="00370983"/>
    <w:rsid w:val="003724B7"/>
    <w:rsid w:val="003778FC"/>
    <w:rsid w:val="00381130"/>
    <w:rsid w:val="00386123"/>
    <w:rsid w:val="003911EF"/>
    <w:rsid w:val="00394F3F"/>
    <w:rsid w:val="00394FD6"/>
    <w:rsid w:val="0039745D"/>
    <w:rsid w:val="003B33D7"/>
    <w:rsid w:val="003B4B5C"/>
    <w:rsid w:val="003C09CD"/>
    <w:rsid w:val="003C2F66"/>
    <w:rsid w:val="003D4B5D"/>
    <w:rsid w:val="003D7401"/>
    <w:rsid w:val="003E12BB"/>
    <w:rsid w:val="003E4E10"/>
    <w:rsid w:val="003F071D"/>
    <w:rsid w:val="003F258C"/>
    <w:rsid w:val="003F3B7D"/>
    <w:rsid w:val="003F5D8C"/>
    <w:rsid w:val="003F7985"/>
    <w:rsid w:val="004000AE"/>
    <w:rsid w:val="004012D5"/>
    <w:rsid w:val="004047CD"/>
    <w:rsid w:val="00406149"/>
    <w:rsid w:val="004101E7"/>
    <w:rsid w:val="00410ECB"/>
    <w:rsid w:val="004116AC"/>
    <w:rsid w:val="0042076B"/>
    <w:rsid w:val="00420C3C"/>
    <w:rsid w:val="00423B5D"/>
    <w:rsid w:val="00423CA7"/>
    <w:rsid w:val="00430765"/>
    <w:rsid w:val="0043123D"/>
    <w:rsid w:val="004324D7"/>
    <w:rsid w:val="00436AA6"/>
    <w:rsid w:val="004515FA"/>
    <w:rsid w:val="00452847"/>
    <w:rsid w:val="00452D6C"/>
    <w:rsid w:val="00455BBA"/>
    <w:rsid w:val="00462889"/>
    <w:rsid w:val="00465B79"/>
    <w:rsid w:val="004677F4"/>
    <w:rsid w:val="00467DD8"/>
    <w:rsid w:val="0047141E"/>
    <w:rsid w:val="00475680"/>
    <w:rsid w:val="0047620D"/>
    <w:rsid w:val="00482D6F"/>
    <w:rsid w:val="00483789"/>
    <w:rsid w:val="00484029"/>
    <w:rsid w:val="004857AC"/>
    <w:rsid w:val="00491B71"/>
    <w:rsid w:val="004A1560"/>
    <w:rsid w:val="004A214F"/>
    <w:rsid w:val="004A5330"/>
    <w:rsid w:val="004B1C99"/>
    <w:rsid w:val="004B3455"/>
    <w:rsid w:val="004B6654"/>
    <w:rsid w:val="004B7E36"/>
    <w:rsid w:val="004C013E"/>
    <w:rsid w:val="004C13F3"/>
    <w:rsid w:val="004C6E61"/>
    <w:rsid w:val="004C72E4"/>
    <w:rsid w:val="004C7AE4"/>
    <w:rsid w:val="004E1CC7"/>
    <w:rsid w:val="004E6E19"/>
    <w:rsid w:val="004F0919"/>
    <w:rsid w:val="004F2860"/>
    <w:rsid w:val="004F3369"/>
    <w:rsid w:val="004F4C26"/>
    <w:rsid w:val="004F7926"/>
    <w:rsid w:val="00506FBB"/>
    <w:rsid w:val="00512BF6"/>
    <w:rsid w:val="0051357E"/>
    <w:rsid w:val="00524423"/>
    <w:rsid w:val="00524CC2"/>
    <w:rsid w:val="00527A71"/>
    <w:rsid w:val="00531B36"/>
    <w:rsid w:val="0053259B"/>
    <w:rsid w:val="005343F7"/>
    <w:rsid w:val="00535673"/>
    <w:rsid w:val="0054215B"/>
    <w:rsid w:val="005470F4"/>
    <w:rsid w:val="00547C68"/>
    <w:rsid w:val="00552BD8"/>
    <w:rsid w:val="00552F05"/>
    <w:rsid w:val="00562901"/>
    <w:rsid w:val="00563D27"/>
    <w:rsid w:val="0057546D"/>
    <w:rsid w:val="005759BD"/>
    <w:rsid w:val="005808B3"/>
    <w:rsid w:val="0058116B"/>
    <w:rsid w:val="005A224D"/>
    <w:rsid w:val="005A60D9"/>
    <w:rsid w:val="005A6744"/>
    <w:rsid w:val="005A6E20"/>
    <w:rsid w:val="005B1078"/>
    <w:rsid w:val="005B1828"/>
    <w:rsid w:val="005B1953"/>
    <w:rsid w:val="005B44AD"/>
    <w:rsid w:val="005C28B1"/>
    <w:rsid w:val="005D2E70"/>
    <w:rsid w:val="005D5319"/>
    <w:rsid w:val="005D6446"/>
    <w:rsid w:val="005E0436"/>
    <w:rsid w:val="005E24BC"/>
    <w:rsid w:val="00601CEF"/>
    <w:rsid w:val="0060324B"/>
    <w:rsid w:val="00603BEB"/>
    <w:rsid w:val="00603C0F"/>
    <w:rsid w:val="0060678C"/>
    <w:rsid w:val="006076E6"/>
    <w:rsid w:val="00610E3A"/>
    <w:rsid w:val="0061336E"/>
    <w:rsid w:val="006263A2"/>
    <w:rsid w:val="00632E0D"/>
    <w:rsid w:val="00634914"/>
    <w:rsid w:val="00636218"/>
    <w:rsid w:val="006371C0"/>
    <w:rsid w:val="00650E4E"/>
    <w:rsid w:val="006576D6"/>
    <w:rsid w:val="00664428"/>
    <w:rsid w:val="0067019D"/>
    <w:rsid w:val="00693CA5"/>
    <w:rsid w:val="0069581C"/>
    <w:rsid w:val="006966EF"/>
    <w:rsid w:val="006A2298"/>
    <w:rsid w:val="006B764C"/>
    <w:rsid w:val="006C0EC9"/>
    <w:rsid w:val="006C4619"/>
    <w:rsid w:val="006C7A18"/>
    <w:rsid w:val="006C7AF9"/>
    <w:rsid w:val="006D04B3"/>
    <w:rsid w:val="006D05FF"/>
    <w:rsid w:val="006D0F01"/>
    <w:rsid w:val="006D1B8C"/>
    <w:rsid w:val="006D2F19"/>
    <w:rsid w:val="006D77D8"/>
    <w:rsid w:val="006D7E64"/>
    <w:rsid w:val="006E0C04"/>
    <w:rsid w:val="00702EF4"/>
    <w:rsid w:val="00702F14"/>
    <w:rsid w:val="00705562"/>
    <w:rsid w:val="00705D46"/>
    <w:rsid w:val="0071660B"/>
    <w:rsid w:val="007170BB"/>
    <w:rsid w:val="0072537A"/>
    <w:rsid w:val="00731902"/>
    <w:rsid w:val="00744196"/>
    <w:rsid w:val="00750384"/>
    <w:rsid w:val="00752508"/>
    <w:rsid w:val="00753374"/>
    <w:rsid w:val="00754F1A"/>
    <w:rsid w:val="00761501"/>
    <w:rsid w:val="0076234B"/>
    <w:rsid w:val="00765925"/>
    <w:rsid w:val="00775219"/>
    <w:rsid w:val="00777F21"/>
    <w:rsid w:val="00784B9B"/>
    <w:rsid w:val="00787461"/>
    <w:rsid w:val="0079219F"/>
    <w:rsid w:val="0079399D"/>
    <w:rsid w:val="007A47CC"/>
    <w:rsid w:val="007B3131"/>
    <w:rsid w:val="007B409A"/>
    <w:rsid w:val="007C2DCA"/>
    <w:rsid w:val="007D1186"/>
    <w:rsid w:val="007D2676"/>
    <w:rsid w:val="007D2BED"/>
    <w:rsid w:val="007D6688"/>
    <w:rsid w:val="007E24A8"/>
    <w:rsid w:val="007E7216"/>
    <w:rsid w:val="007F1A4C"/>
    <w:rsid w:val="007F59C3"/>
    <w:rsid w:val="007F5F32"/>
    <w:rsid w:val="007F6D7F"/>
    <w:rsid w:val="00813820"/>
    <w:rsid w:val="00817A47"/>
    <w:rsid w:val="00817B7D"/>
    <w:rsid w:val="00824115"/>
    <w:rsid w:val="008273E2"/>
    <w:rsid w:val="00832207"/>
    <w:rsid w:val="00834E3F"/>
    <w:rsid w:val="008362DF"/>
    <w:rsid w:val="0084274E"/>
    <w:rsid w:val="008448F5"/>
    <w:rsid w:val="008465E7"/>
    <w:rsid w:val="00847845"/>
    <w:rsid w:val="00854D8A"/>
    <w:rsid w:val="0086562A"/>
    <w:rsid w:val="00867D6F"/>
    <w:rsid w:val="00870EE4"/>
    <w:rsid w:val="00882411"/>
    <w:rsid w:val="008837ED"/>
    <w:rsid w:val="00884F92"/>
    <w:rsid w:val="00886745"/>
    <w:rsid w:val="0089536F"/>
    <w:rsid w:val="008B1FA5"/>
    <w:rsid w:val="008B2FF2"/>
    <w:rsid w:val="008B38B0"/>
    <w:rsid w:val="008C167A"/>
    <w:rsid w:val="008C4714"/>
    <w:rsid w:val="008C7D2F"/>
    <w:rsid w:val="008D270D"/>
    <w:rsid w:val="008D30A0"/>
    <w:rsid w:val="0090196E"/>
    <w:rsid w:val="009073AE"/>
    <w:rsid w:val="00916B38"/>
    <w:rsid w:val="00932C2E"/>
    <w:rsid w:val="0093360D"/>
    <w:rsid w:val="00941907"/>
    <w:rsid w:val="00946D08"/>
    <w:rsid w:val="00951643"/>
    <w:rsid w:val="009528F5"/>
    <w:rsid w:val="00952923"/>
    <w:rsid w:val="009542A6"/>
    <w:rsid w:val="00955502"/>
    <w:rsid w:val="00963329"/>
    <w:rsid w:val="00967304"/>
    <w:rsid w:val="00975451"/>
    <w:rsid w:val="00976C7E"/>
    <w:rsid w:val="00977228"/>
    <w:rsid w:val="009777F5"/>
    <w:rsid w:val="0098030C"/>
    <w:rsid w:val="0098412C"/>
    <w:rsid w:val="00987B7D"/>
    <w:rsid w:val="00995009"/>
    <w:rsid w:val="0099529A"/>
    <w:rsid w:val="00997871"/>
    <w:rsid w:val="009A19E2"/>
    <w:rsid w:val="009A450A"/>
    <w:rsid w:val="009A4B38"/>
    <w:rsid w:val="009B396F"/>
    <w:rsid w:val="009B410A"/>
    <w:rsid w:val="009B5F89"/>
    <w:rsid w:val="009B640B"/>
    <w:rsid w:val="009B6994"/>
    <w:rsid w:val="009C31FD"/>
    <w:rsid w:val="009D1028"/>
    <w:rsid w:val="009D6041"/>
    <w:rsid w:val="009D77BF"/>
    <w:rsid w:val="009E0E3D"/>
    <w:rsid w:val="009E4BB5"/>
    <w:rsid w:val="009E680E"/>
    <w:rsid w:val="009E7F8E"/>
    <w:rsid w:val="009F29C8"/>
    <w:rsid w:val="00A00010"/>
    <w:rsid w:val="00A02CDF"/>
    <w:rsid w:val="00A1302E"/>
    <w:rsid w:val="00A1492B"/>
    <w:rsid w:val="00A15F00"/>
    <w:rsid w:val="00A31024"/>
    <w:rsid w:val="00A31998"/>
    <w:rsid w:val="00A41FFD"/>
    <w:rsid w:val="00A4510A"/>
    <w:rsid w:val="00A457D7"/>
    <w:rsid w:val="00A519D0"/>
    <w:rsid w:val="00A62143"/>
    <w:rsid w:val="00A6619B"/>
    <w:rsid w:val="00A743B1"/>
    <w:rsid w:val="00A82E81"/>
    <w:rsid w:val="00A87D80"/>
    <w:rsid w:val="00A92AC2"/>
    <w:rsid w:val="00A93CAE"/>
    <w:rsid w:val="00A93F09"/>
    <w:rsid w:val="00A94717"/>
    <w:rsid w:val="00A94D4D"/>
    <w:rsid w:val="00AA0B01"/>
    <w:rsid w:val="00AA0E2F"/>
    <w:rsid w:val="00AB046D"/>
    <w:rsid w:val="00AB2AAA"/>
    <w:rsid w:val="00AB388A"/>
    <w:rsid w:val="00AC177F"/>
    <w:rsid w:val="00AC1B04"/>
    <w:rsid w:val="00AC3609"/>
    <w:rsid w:val="00AC760B"/>
    <w:rsid w:val="00AD798F"/>
    <w:rsid w:val="00AE3945"/>
    <w:rsid w:val="00AF2E2C"/>
    <w:rsid w:val="00AF2F3E"/>
    <w:rsid w:val="00AF578D"/>
    <w:rsid w:val="00AF587B"/>
    <w:rsid w:val="00B064E4"/>
    <w:rsid w:val="00B14D69"/>
    <w:rsid w:val="00B220FD"/>
    <w:rsid w:val="00B26D8C"/>
    <w:rsid w:val="00B2797B"/>
    <w:rsid w:val="00B3074D"/>
    <w:rsid w:val="00B450E8"/>
    <w:rsid w:val="00B47A70"/>
    <w:rsid w:val="00B538E8"/>
    <w:rsid w:val="00B62245"/>
    <w:rsid w:val="00B6417E"/>
    <w:rsid w:val="00B72D1F"/>
    <w:rsid w:val="00B805ED"/>
    <w:rsid w:val="00B80FCD"/>
    <w:rsid w:val="00B85A48"/>
    <w:rsid w:val="00B936AD"/>
    <w:rsid w:val="00B93DC7"/>
    <w:rsid w:val="00B96A56"/>
    <w:rsid w:val="00B97528"/>
    <w:rsid w:val="00BA3852"/>
    <w:rsid w:val="00BA3F16"/>
    <w:rsid w:val="00BB43F0"/>
    <w:rsid w:val="00BB4D12"/>
    <w:rsid w:val="00BC0A89"/>
    <w:rsid w:val="00BC5341"/>
    <w:rsid w:val="00BD2E43"/>
    <w:rsid w:val="00BE0788"/>
    <w:rsid w:val="00BE6175"/>
    <w:rsid w:val="00BE7410"/>
    <w:rsid w:val="00BE7B48"/>
    <w:rsid w:val="00BF31BC"/>
    <w:rsid w:val="00C038FA"/>
    <w:rsid w:val="00C06A99"/>
    <w:rsid w:val="00C4015E"/>
    <w:rsid w:val="00C50206"/>
    <w:rsid w:val="00C50EF5"/>
    <w:rsid w:val="00C545D8"/>
    <w:rsid w:val="00C56547"/>
    <w:rsid w:val="00C57AEC"/>
    <w:rsid w:val="00C70036"/>
    <w:rsid w:val="00C7317C"/>
    <w:rsid w:val="00C7355E"/>
    <w:rsid w:val="00C755E2"/>
    <w:rsid w:val="00C76993"/>
    <w:rsid w:val="00C850C6"/>
    <w:rsid w:val="00C85EE4"/>
    <w:rsid w:val="00C902BF"/>
    <w:rsid w:val="00C9361A"/>
    <w:rsid w:val="00C94DF9"/>
    <w:rsid w:val="00CA2626"/>
    <w:rsid w:val="00CA41DE"/>
    <w:rsid w:val="00CA7B50"/>
    <w:rsid w:val="00CB0061"/>
    <w:rsid w:val="00CB1161"/>
    <w:rsid w:val="00CB4E72"/>
    <w:rsid w:val="00CB6B91"/>
    <w:rsid w:val="00CC1E3D"/>
    <w:rsid w:val="00CC5BB9"/>
    <w:rsid w:val="00CC5F2F"/>
    <w:rsid w:val="00CD4E5B"/>
    <w:rsid w:val="00CD7517"/>
    <w:rsid w:val="00CE7F79"/>
    <w:rsid w:val="00D100CA"/>
    <w:rsid w:val="00D121B8"/>
    <w:rsid w:val="00D12F93"/>
    <w:rsid w:val="00D13268"/>
    <w:rsid w:val="00D13866"/>
    <w:rsid w:val="00D16FD0"/>
    <w:rsid w:val="00D20604"/>
    <w:rsid w:val="00D21812"/>
    <w:rsid w:val="00D24D33"/>
    <w:rsid w:val="00D34B45"/>
    <w:rsid w:val="00D4207F"/>
    <w:rsid w:val="00D47C38"/>
    <w:rsid w:val="00D563E6"/>
    <w:rsid w:val="00D61E9F"/>
    <w:rsid w:val="00D63F6D"/>
    <w:rsid w:val="00D64237"/>
    <w:rsid w:val="00D644D8"/>
    <w:rsid w:val="00D718F9"/>
    <w:rsid w:val="00D7477A"/>
    <w:rsid w:val="00D76996"/>
    <w:rsid w:val="00D81027"/>
    <w:rsid w:val="00D84398"/>
    <w:rsid w:val="00D86513"/>
    <w:rsid w:val="00D869C2"/>
    <w:rsid w:val="00D87A5D"/>
    <w:rsid w:val="00D90AA3"/>
    <w:rsid w:val="00D91FF2"/>
    <w:rsid w:val="00DA4D24"/>
    <w:rsid w:val="00DA78F0"/>
    <w:rsid w:val="00DB2566"/>
    <w:rsid w:val="00DB359F"/>
    <w:rsid w:val="00DC5D75"/>
    <w:rsid w:val="00DD0C62"/>
    <w:rsid w:val="00DE0D77"/>
    <w:rsid w:val="00DE1FA0"/>
    <w:rsid w:val="00DE6181"/>
    <w:rsid w:val="00DF4127"/>
    <w:rsid w:val="00DF6A8E"/>
    <w:rsid w:val="00E14681"/>
    <w:rsid w:val="00E16A18"/>
    <w:rsid w:val="00E20931"/>
    <w:rsid w:val="00E2304F"/>
    <w:rsid w:val="00E256E2"/>
    <w:rsid w:val="00E259D1"/>
    <w:rsid w:val="00E27644"/>
    <w:rsid w:val="00E32610"/>
    <w:rsid w:val="00E32649"/>
    <w:rsid w:val="00E328C8"/>
    <w:rsid w:val="00E35B47"/>
    <w:rsid w:val="00E372CB"/>
    <w:rsid w:val="00E4034B"/>
    <w:rsid w:val="00E5325B"/>
    <w:rsid w:val="00E53C71"/>
    <w:rsid w:val="00E57596"/>
    <w:rsid w:val="00E64FF3"/>
    <w:rsid w:val="00E65A0E"/>
    <w:rsid w:val="00E66956"/>
    <w:rsid w:val="00E72D4D"/>
    <w:rsid w:val="00E807A7"/>
    <w:rsid w:val="00E91CC4"/>
    <w:rsid w:val="00EA2116"/>
    <w:rsid w:val="00EA74DA"/>
    <w:rsid w:val="00EB555A"/>
    <w:rsid w:val="00EB605C"/>
    <w:rsid w:val="00EB6EA2"/>
    <w:rsid w:val="00EC1F6F"/>
    <w:rsid w:val="00EC2605"/>
    <w:rsid w:val="00EC291F"/>
    <w:rsid w:val="00EC641A"/>
    <w:rsid w:val="00EC7396"/>
    <w:rsid w:val="00ED73C7"/>
    <w:rsid w:val="00EE5C51"/>
    <w:rsid w:val="00EE693E"/>
    <w:rsid w:val="00EF11C9"/>
    <w:rsid w:val="00EF224F"/>
    <w:rsid w:val="00EF4B02"/>
    <w:rsid w:val="00EF5747"/>
    <w:rsid w:val="00F00632"/>
    <w:rsid w:val="00F01C30"/>
    <w:rsid w:val="00F036DE"/>
    <w:rsid w:val="00F06872"/>
    <w:rsid w:val="00F068A0"/>
    <w:rsid w:val="00F1182A"/>
    <w:rsid w:val="00F11F87"/>
    <w:rsid w:val="00F15704"/>
    <w:rsid w:val="00F15B1B"/>
    <w:rsid w:val="00F16EEB"/>
    <w:rsid w:val="00F22CEF"/>
    <w:rsid w:val="00F258E1"/>
    <w:rsid w:val="00F30F79"/>
    <w:rsid w:val="00F40940"/>
    <w:rsid w:val="00F4391A"/>
    <w:rsid w:val="00F44220"/>
    <w:rsid w:val="00F45E38"/>
    <w:rsid w:val="00F45F37"/>
    <w:rsid w:val="00F54CBF"/>
    <w:rsid w:val="00F5638A"/>
    <w:rsid w:val="00F608C6"/>
    <w:rsid w:val="00F67B8F"/>
    <w:rsid w:val="00F71888"/>
    <w:rsid w:val="00F726F1"/>
    <w:rsid w:val="00F93D3F"/>
    <w:rsid w:val="00F952F3"/>
    <w:rsid w:val="00F969FD"/>
    <w:rsid w:val="00FA2420"/>
    <w:rsid w:val="00FA31CE"/>
    <w:rsid w:val="00FA418F"/>
    <w:rsid w:val="00FA5C8A"/>
    <w:rsid w:val="00FB5FD8"/>
    <w:rsid w:val="00FB6C87"/>
    <w:rsid w:val="00FC0234"/>
    <w:rsid w:val="00FC06AB"/>
    <w:rsid w:val="00FD34B6"/>
    <w:rsid w:val="00FD7BFE"/>
    <w:rsid w:val="00FE2791"/>
    <w:rsid w:val="00FE4D0C"/>
    <w:rsid w:val="00FE7CDC"/>
    <w:rsid w:val="00FF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5B33DBD4"/>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901"/>
    <w:pPr>
      <w:tabs>
        <w:tab w:val="center" w:pos="4513"/>
        <w:tab w:val="right" w:pos="9026"/>
      </w:tabs>
    </w:pPr>
  </w:style>
  <w:style w:type="character" w:customStyle="1" w:styleId="HeaderChar">
    <w:name w:val="Header Char"/>
    <w:basedOn w:val="DefaultParagraphFont"/>
    <w:link w:val="Header"/>
    <w:uiPriority w:val="99"/>
    <w:rsid w:val="00562901"/>
  </w:style>
  <w:style w:type="paragraph" w:styleId="Footer">
    <w:name w:val="footer"/>
    <w:basedOn w:val="Normal"/>
    <w:link w:val="FooterChar"/>
    <w:uiPriority w:val="99"/>
    <w:unhideWhenUsed/>
    <w:rsid w:val="00562901"/>
    <w:pPr>
      <w:tabs>
        <w:tab w:val="center" w:pos="4513"/>
        <w:tab w:val="right" w:pos="9026"/>
      </w:tabs>
    </w:pPr>
  </w:style>
  <w:style w:type="character" w:customStyle="1" w:styleId="FooterChar">
    <w:name w:val="Footer Char"/>
    <w:basedOn w:val="DefaultParagraphFont"/>
    <w:link w:val="Footer"/>
    <w:uiPriority w:val="99"/>
    <w:rsid w:val="00562901"/>
  </w:style>
  <w:style w:type="paragraph" w:styleId="FootnoteText">
    <w:name w:val="footnote text"/>
    <w:basedOn w:val="Normal"/>
    <w:link w:val="FootnoteTextChar"/>
    <w:uiPriority w:val="99"/>
    <w:unhideWhenUsed/>
    <w:rsid w:val="00A93CAE"/>
  </w:style>
  <w:style w:type="character" w:customStyle="1" w:styleId="FootnoteTextChar">
    <w:name w:val="Footnote Text Char"/>
    <w:basedOn w:val="DefaultParagraphFont"/>
    <w:link w:val="FootnoteText"/>
    <w:uiPriority w:val="99"/>
    <w:rsid w:val="00A93CAE"/>
  </w:style>
  <w:style w:type="character" w:styleId="FootnoteReference">
    <w:name w:val="footnote reference"/>
    <w:basedOn w:val="DefaultParagraphFont"/>
    <w:uiPriority w:val="99"/>
    <w:unhideWhenUsed/>
    <w:rsid w:val="00A93CAE"/>
    <w:rPr>
      <w:vertAlign w:val="superscript"/>
    </w:rPr>
  </w:style>
  <w:style w:type="paragraph" w:styleId="ListParagraph">
    <w:name w:val="List Paragraph"/>
    <w:basedOn w:val="Normal"/>
    <w:uiPriority w:val="34"/>
    <w:qFormat/>
    <w:rsid w:val="00A1492B"/>
    <w:pPr>
      <w:ind w:left="720"/>
      <w:contextualSpacing/>
    </w:pPr>
  </w:style>
  <w:style w:type="paragraph" w:styleId="BalloonText">
    <w:name w:val="Balloon Text"/>
    <w:basedOn w:val="Normal"/>
    <w:link w:val="BalloonTextChar"/>
    <w:uiPriority w:val="99"/>
    <w:semiHidden/>
    <w:unhideWhenUsed/>
    <w:rsid w:val="00D76996"/>
    <w:rPr>
      <w:rFonts w:ascii="Tahoma" w:hAnsi="Tahoma" w:cs="Tahoma"/>
      <w:sz w:val="16"/>
      <w:szCs w:val="16"/>
    </w:rPr>
  </w:style>
  <w:style w:type="character" w:customStyle="1" w:styleId="BalloonTextChar">
    <w:name w:val="Balloon Text Char"/>
    <w:basedOn w:val="DefaultParagraphFont"/>
    <w:link w:val="BalloonText"/>
    <w:uiPriority w:val="99"/>
    <w:semiHidden/>
    <w:rsid w:val="00D76996"/>
    <w:rPr>
      <w:rFonts w:ascii="Tahoma" w:hAnsi="Tahoma" w:cs="Tahoma"/>
      <w:sz w:val="16"/>
      <w:szCs w:val="16"/>
    </w:rPr>
  </w:style>
  <w:style w:type="character" w:styleId="Hyperlink">
    <w:name w:val="Hyperlink"/>
    <w:basedOn w:val="DefaultParagraphFont"/>
    <w:uiPriority w:val="99"/>
    <w:unhideWhenUsed/>
    <w:rsid w:val="009E0E3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B10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901"/>
    <w:pPr>
      <w:tabs>
        <w:tab w:val="center" w:pos="4513"/>
        <w:tab w:val="right" w:pos="9026"/>
      </w:tabs>
    </w:pPr>
  </w:style>
  <w:style w:type="character" w:customStyle="1" w:styleId="HeaderChar">
    <w:name w:val="Header Char"/>
    <w:basedOn w:val="DefaultParagraphFont"/>
    <w:link w:val="Header"/>
    <w:uiPriority w:val="99"/>
    <w:rsid w:val="00562901"/>
  </w:style>
  <w:style w:type="paragraph" w:styleId="Footer">
    <w:name w:val="footer"/>
    <w:basedOn w:val="Normal"/>
    <w:link w:val="FooterChar"/>
    <w:uiPriority w:val="99"/>
    <w:unhideWhenUsed/>
    <w:rsid w:val="00562901"/>
    <w:pPr>
      <w:tabs>
        <w:tab w:val="center" w:pos="4513"/>
        <w:tab w:val="right" w:pos="9026"/>
      </w:tabs>
    </w:pPr>
  </w:style>
  <w:style w:type="character" w:customStyle="1" w:styleId="FooterChar">
    <w:name w:val="Footer Char"/>
    <w:basedOn w:val="DefaultParagraphFont"/>
    <w:link w:val="Footer"/>
    <w:uiPriority w:val="99"/>
    <w:rsid w:val="00562901"/>
  </w:style>
  <w:style w:type="paragraph" w:styleId="FootnoteText">
    <w:name w:val="footnote text"/>
    <w:basedOn w:val="Normal"/>
    <w:link w:val="FootnoteTextChar"/>
    <w:uiPriority w:val="99"/>
    <w:unhideWhenUsed/>
    <w:rsid w:val="00A93CAE"/>
  </w:style>
  <w:style w:type="character" w:customStyle="1" w:styleId="FootnoteTextChar">
    <w:name w:val="Footnote Text Char"/>
    <w:basedOn w:val="DefaultParagraphFont"/>
    <w:link w:val="FootnoteText"/>
    <w:uiPriority w:val="99"/>
    <w:rsid w:val="00A93CAE"/>
  </w:style>
  <w:style w:type="character" w:styleId="FootnoteReference">
    <w:name w:val="footnote reference"/>
    <w:basedOn w:val="DefaultParagraphFont"/>
    <w:uiPriority w:val="99"/>
    <w:unhideWhenUsed/>
    <w:rsid w:val="00A93CAE"/>
    <w:rPr>
      <w:vertAlign w:val="superscript"/>
    </w:rPr>
  </w:style>
  <w:style w:type="paragraph" w:styleId="ListParagraph">
    <w:name w:val="List Paragraph"/>
    <w:basedOn w:val="Normal"/>
    <w:uiPriority w:val="34"/>
    <w:qFormat/>
    <w:rsid w:val="00A1492B"/>
    <w:pPr>
      <w:ind w:left="720"/>
      <w:contextualSpacing/>
    </w:pPr>
  </w:style>
  <w:style w:type="paragraph" w:styleId="BalloonText">
    <w:name w:val="Balloon Text"/>
    <w:basedOn w:val="Normal"/>
    <w:link w:val="BalloonTextChar"/>
    <w:uiPriority w:val="99"/>
    <w:semiHidden/>
    <w:unhideWhenUsed/>
    <w:rsid w:val="00D76996"/>
    <w:rPr>
      <w:rFonts w:ascii="Tahoma" w:hAnsi="Tahoma" w:cs="Tahoma"/>
      <w:sz w:val="16"/>
      <w:szCs w:val="16"/>
    </w:rPr>
  </w:style>
  <w:style w:type="character" w:customStyle="1" w:styleId="BalloonTextChar">
    <w:name w:val="Balloon Text Char"/>
    <w:basedOn w:val="DefaultParagraphFont"/>
    <w:link w:val="BalloonText"/>
    <w:uiPriority w:val="99"/>
    <w:semiHidden/>
    <w:rsid w:val="00D76996"/>
    <w:rPr>
      <w:rFonts w:ascii="Tahoma" w:hAnsi="Tahoma" w:cs="Tahoma"/>
      <w:sz w:val="16"/>
      <w:szCs w:val="16"/>
    </w:rPr>
  </w:style>
  <w:style w:type="character" w:styleId="Hyperlink">
    <w:name w:val="Hyperlink"/>
    <w:basedOn w:val="DefaultParagraphFont"/>
    <w:uiPriority w:val="99"/>
    <w:unhideWhenUsed/>
    <w:rsid w:val="009E0E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77936">
      <w:bodyDiv w:val="1"/>
      <w:marLeft w:val="0"/>
      <w:marRight w:val="0"/>
      <w:marTop w:val="0"/>
      <w:marBottom w:val="0"/>
      <w:divBdr>
        <w:top w:val="none" w:sz="0" w:space="0" w:color="auto"/>
        <w:left w:val="none" w:sz="0" w:space="0" w:color="auto"/>
        <w:bottom w:val="none" w:sz="0" w:space="0" w:color="auto"/>
        <w:right w:val="none" w:sz="0" w:space="0" w:color="auto"/>
      </w:divBdr>
    </w:div>
    <w:div w:id="127627172">
      <w:bodyDiv w:val="1"/>
      <w:marLeft w:val="0"/>
      <w:marRight w:val="0"/>
      <w:marTop w:val="0"/>
      <w:marBottom w:val="0"/>
      <w:divBdr>
        <w:top w:val="none" w:sz="0" w:space="0" w:color="auto"/>
        <w:left w:val="none" w:sz="0" w:space="0" w:color="auto"/>
        <w:bottom w:val="none" w:sz="0" w:space="0" w:color="auto"/>
        <w:right w:val="none" w:sz="0" w:space="0" w:color="auto"/>
      </w:divBdr>
    </w:div>
    <w:div w:id="234360189">
      <w:bodyDiv w:val="1"/>
      <w:marLeft w:val="0"/>
      <w:marRight w:val="0"/>
      <w:marTop w:val="0"/>
      <w:marBottom w:val="0"/>
      <w:divBdr>
        <w:top w:val="none" w:sz="0" w:space="0" w:color="auto"/>
        <w:left w:val="none" w:sz="0" w:space="0" w:color="auto"/>
        <w:bottom w:val="none" w:sz="0" w:space="0" w:color="auto"/>
        <w:right w:val="none" w:sz="0" w:space="0" w:color="auto"/>
      </w:divBdr>
    </w:div>
    <w:div w:id="407272464">
      <w:bodyDiv w:val="1"/>
      <w:marLeft w:val="0"/>
      <w:marRight w:val="0"/>
      <w:marTop w:val="0"/>
      <w:marBottom w:val="0"/>
      <w:divBdr>
        <w:top w:val="none" w:sz="0" w:space="0" w:color="auto"/>
        <w:left w:val="none" w:sz="0" w:space="0" w:color="auto"/>
        <w:bottom w:val="none" w:sz="0" w:space="0" w:color="auto"/>
        <w:right w:val="none" w:sz="0" w:space="0" w:color="auto"/>
      </w:divBdr>
    </w:div>
    <w:div w:id="466243168">
      <w:bodyDiv w:val="1"/>
      <w:marLeft w:val="0"/>
      <w:marRight w:val="0"/>
      <w:marTop w:val="0"/>
      <w:marBottom w:val="0"/>
      <w:divBdr>
        <w:top w:val="none" w:sz="0" w:space="0" w:color="auto"/>
        <w:left w:val="none" w:sz="0" w:space="0" w:color="auto"/>
        <w:bottom w:val="none" w:sz="0" w:space="0" w:color="auto"/>
        <w:right w:val="none" w:sz="0" w:space="0" w:color="auto"/>
      </w:divBdr>
    </w:div>
    <w:div w:id="751003468">
      <w:bodyDiv w:val="1"/>
      <w:marLeft w:val="0"/>
      <w:marRight w:val="0"/>
      <w:marTop w:val="0"/>
      <w:marBottom w:val="0"/>
      <w:divBdr>
        <w:top w:val="none" w:sz="0" w:space="0" w:color="auto"/>
        <w:left w:val="none" w:sz="0" w:space="0" w:color="auto"/>
        <w:bottom w:val="none" w:sz="0" w:space="0" w:color="auto"/>
        <w:right w:val="none" w:sz="0" w:space="0" w:color="auto"/>
      </w:divBdr>
    </w:div>
    <w:div w:id="890070882">
      <w:bodyDiv w:val="1"/>
      <w:marLeft w:val="0"/>
      <w:marRight w:val="0"/>
      <w:marTop w:val="0"/>
      <w:marBottom w:val="0"/>
      <w:divBdr>
        <w:top w:val="none" w:sz="0" w:space="0" w:color="auto"/>
        <w:left w:val="none" w:sz="0" w:space="0" w:color="auto"/>
        <w:bottom w:val="none" w:sz="0" w:space="0" w:color="auto"/>
        <w:right w:val="none" w:sz="0" w:space="0" w:color="auto"/>
      </w:divBdr>
      <w:divsChild>
        <w:div w:id="481582472">
          <w:marLeft w:val="0"/>
          <w:marRight w:val="0"/>
          <w:marTop w:val="0"/>
          <w:marBottom w:val="0"/>
          <w:divBdr>
            <w:top w:val="none" w:sz="0" w:space="0" w:color="auto"/>
            <w:left w:val="none" w:sz="0" w:space="0" w:color="auto"/>
            <w:bottom w:val="none" w:sz="0" w:space="0" w:color="auto"/>
            <w:right w:val="none" w:sz="0" w:space="0" w:color="auto"/>
          </w:divBdr>
        </w:div>
        <w:div w:id="1297419082">
          <w:marLeft w:val="0"/>
          <w:marRight w:val="0"/>
          <w:marTop w:val="0"/>
          <w:marBottom w:val="0"/>
          <w:divBdr>
            <w:top w:val="none" w:sz="0" w:space="0" w:color="auto"/>
            <w:left w:val="none" w:sz="0" w:space="0" w:color="auto"/>
            <w:bottom w:val="none" w:sz="0" w:space="0" w:color="auto"/>
            <w:right w:val="none" w:sz="0" w:space="0" w:color="auto"/>
          </w:divBdr>
        </w:div>
        <w:div w:id="663707820">
          <w:marLeft w:val="0"/>
          <w:marRight w:val="0"/>
          <w:marTop w:val="0"/>
          <w:marBottom w:val="0"/>
          <w:divBdr>
            <w:top w:val="none" w:sz="0" w:space="0" w:color="auto"/>
            <w:left w:val="none" w:sz="0" w:space="0" w:color="auto"/>
            <w:bottom w:val="none" w:sz="0" w:space="0" w:color="auto"/>
            <w:right w:val="none" w:sz="0" w:space="0" w:color="auto"/>
          </w:divBdr>
        </w:div>
        <w:div w:id="1174612318">
          <w:marLeft w:val="0"/>
          <w:marRight w:val="0"/>
          <w:marTop w:val="0"/>
          <w:marBottom w:val="0"/>
          <w:divBdr>
            <w:top w:val="none" w:sz="0" w:space="0" w:color="auto"/>
            <w:left w:val="none" w:sz="0" w:space="0" w:color="auto"/>
            <w:bottom w:val="none" w:sz="0" w:space="0" w:color="auto"/>
            <w:right w:val="none" w:sz="0" w:space="0" w:color="auto"/>
          </w:divBdr>
        </w:div>
        <w:div w:id="26495719">
          <w:marLeft w:val="0"/>
          <w:marRight w:val="0"/>
          <w:marTop w:val="0"/>
          <w:marBottom w:val="0"/>
          <w:divBdr>
            <w:top w:val="none" w:sz="0" w:space="0" w:color="auto"/>
            <w:left w:val="none" w:sz="0" w:space="0" w:color="auto"/>
            <w:bottom w:val="none" w:sz="0" w:space="0" w:color="auto"/>
            <w:right w:val="none" w:sz="0" w:space="0" w:color="auto"/>
          </w:divBdr>
        </w:div>
        <w:div w:id="515923342">
          <w:marLeft w:val="0"/>
          <w:marRight w:val="0"/>
          <w:marTop w:val="0"/>
          <w:marBottom w:val="0"/>
          <w:divBdr>
            <w:top w:val="none" w:sz="0" w:space="0" w:color="auto"/>
            <w:left w:val="none" w:sz="0" w:space="0" w:color="auto"/>
            <w:bottom w:val="none" w:sz="0" w:space="0" w:color="auto"/>
            <w:right w:val="none" w:sz="0" w:space="0" w:color="auto"/>
          </w:divBdr>
        </w:div>
      </w:divsChild>
    </w:div>
    <w:div w:id="1128205907">
      <w:bodyDiv w:val="1"/>
      <w:marLeft w:val="0"/>
      <w:marRight w:val="0"/>
      <w:marTop w:val="0"/>
      <w:marBottom w:val="0"/>
      <w:divBdr>
        <w:top w:val="none" w:sz="0" w:space="0" w:color="auto"/>
        <w:left w:val="none" w:sz="0" w:space="0" w:color="auto"/>
        <w:bottom w:val="none" w:sz="0" w:space="0" w:color="auto"/>
        <w:right w:val="none" w:sz="0" w:space="0" w:color="auto"/>
      </w:divBdr>
    </w:div>
    <w:div w:id="1223324870">
      <w:bodyDiv w:val="1"/>
      <w:marLeft w:val="0"/>
      <w:marRight w:val="0"/>
      <w:marTop w:val="0"/>
      <w:marBottom w:val="0"/>
      <w:divBdr>
        <w:top w:val="none" w:sz="0" w:space="0" w:color="auto"/>
        <w:left w:val="none" w:sz="0" w:space="0" w:color="auto"/>
        <w:bottom w:val="none" w:sz="0" w:space="0" w:color="auto"/>
        <w:right w:val="none" w:sz="0" w:space="0" w:color="auto"/>
      </w:divBdr>
    </w:div>
    <w:div w:id="1279335539">
      <w:bodyDiv w:val="1"/>
      <w:marLeft w:val="0"/>
      <w:marRight w:val="0"/>
      <w:marTop w:val="0"/>
      <w:marBottom w:val="0"/>
      <w:divBdr>
        <w:top w:val="none" w:sz="0" w:space="0" w:color="auto"/>
        <w:left w:val="none" w:sz="0" w:space="0" w:color="auto"/>
        <w:bottom w:val="none" w:sz="0" w:space="0" w:color="auto"/>
        <w:right w:val="none" w:sz="0" w:space="0" w:color="auto"/>
      </w:divBdr>
    </w:div>
    <w:div w:id="1316032003">
      <w:bodyDiv w:val="1"/>
      <w:marLeft w:val="0"/>
      <w:marRight w:val="0"/>
      <w:marTop w:val="0"/>
      <w:marBottom w:val="0"/>
      <w:divBdr>
        <w:top w:val="none" w:sz="0" w:space="0" w:color="auto"/>
        <w:left w:val="none" w:sz="0" w:space="0" w:color="auto"/>
        <w:bottom w:val="none" w:sz="0" w:space="0" w:color="auto"/>
        <w:right w:val="none" w:sz="0" w:space="0" w:color="auto"/>
      </w:divBdr>
      <w:divsChild>
        <w:div w:id="1396783242">
          <w:marLeft w:val="0"/>
          <w:marRight w:val="0"/>
          <w:marTop w:val="0"/>
          <w:marBottom w:val="0"/>
          <w:divBdr>
            <w:top w:val="none" w:sz="0" w:space="0" w:color="auto"/>
            <w:left w:val="none" w:sz="0" w:space="0" w:color="auto"/>
            <w:bottom w:val="none" w:sz="0" w:space="0" w:color="auto"/>
            <w:right w:val="none" w:sz="0" w:space="0" w:color="auto"/>
          </w:divBdr>
        </w:div>
        <w:div w:id="604271465">
          <w:marLeft w:val="0"/>
          <w:marRight w:val="0"/>
          <w:marTop w:val="0"/>
          <w:marBottom w:val="0"/>
          <w:divBdr>
            <w:top w:val="none" w:sz="0" w:space="0" w:color="auto"/>
            <w:left w:val="none" w:sz="0" w:space="0" w:color="auto"/>
            <w:bottom w:val="none" w:sz="0" w:space="0" w:color="auto"/>
            <w:right w:val="none" w:sz="0" w:space="0" w:color="auto"/>
          </w:divBdr>
        </w:div>
        <w:div w:id="883565749">
          <w:marLeft w:val="0"/>
          <w:marRight w:val="0"/>
          <w:marTop w:val="0"/>
          <w:marBottom w:val="0"/>
          <w:divBdr>
            <w:top w:val="none" w:sz="0" w:space="0" w:color="auto"/>
            <w:left w:val="none" w:sz="0" w:space="0" w:color="auto"/>
            <w:bottom w:val="none" w:sz="0" w:space="0" w:color="auto"/>
            <w:right w:val="none" w:sz="0" w:space="0" w:color="auto"/>
          </w:divBdr>
        </w:div>
        <w:div w:id="1137452451">
          <w:marLeft w:val="0"/>
          <w:marRight w:val="0"/>
          <w:marTop w:val="0"/>
          <w:marBottom w:val="0"/>
          <w:divBdr>
            <w:top w:val="none" w:sz="0" w:space="0" w:color="auto"/>
            <w:left w:val="none" w:sz="0" w:space="0" w:color="auto"/>
            <w:bottom w:val="none" w:sz="0" w:space="0" w:color="auto"/>
            <w:right w:val="none" w:sz="0" w:space="0" w:color="auto"/>
          </w:divBdr>
        </w:div>
        <w:div w:id="2090082048">
          <w:marLeft w:val="0"/>
          <w:marRight w:val="0"/>
          <w:marTop w:val="0"/>
          <w:marBottom w:val="0"/>
          <w:divBdr>
            <w:top w:val="none" w:sz="0" w:space="0" w:color="auto"/>
            <w:left w:val="none" w:sz="0" w:space="0" w:color="auto"/>
            <w:bottom w:val="none" w:sz="0" w:space="0" w:color="auto"/>
            <w:right w:val="none" w:sz="0" w:space="0" w:color="auto"/>
          </w:divBdr>
        </w:div>
        <w:div w:id="1260140024">
          <w:marLeft w:val="0"/>
          <w:marRight w:val="0"/>
          <w:marTop w:val="0"/>
          <w:marBottom w:val="0"/>
          <w:divBdr>
            <w:top w:val="none" w:sz="0" w:space="0" w:color="auto"/>
            <w:left w:val="none" w:sz="0" w:space="0" w:color="auto"/>
            <w:bottom w:val="none" w:sz="0" w:space="0" w:color="auto"/>
            <w:right w:val="none" w:sz="0" w:space="0" w:color="auto"/>
          </w:divBdr>
        </w:div>
        <w:div w:id="1984045004">
          <w:marLeft w:val="0"/>
          <w:marRight w:val="0"/>
          <w:marTop w:val="0"/>
          <w:marBottom w:val="0"/>
          <w:divBdr>
            <w:top w:val="none" w:sz="0" w:space="0" w:color="auto"/>
            <w:left w:val="none" w:sz="0" w:space="0" w:color="auto"/>
            <w:bottom w:val="none" w:sz="0" w:space="0" w:color="auto"/>
            <w:right w:val="none" w:sz="0" w:space="0" w:color="auto"/>
          </w:divBdr>
        </w:div>
        <w:div w:id="1548252525">
          <w:marLeft w:val="0"/>
          <w:marRight w:val="0"/>
          <w:marTop w:val="0"/>
          <w:marBottom w:val="0"/>
          <w:divBdr>
            <w:top w:val="none" w:sz="0" w:space="0" w:color="auto"/>
            <w:left w:val="none" w:sz="0" w:space="0" w:color="auto"/>
            <w:bottom w:val="none" w:sz="0" w:space="0" w:color="auto"/>
            <w:right w:val="none" w:sz="0" w:space="0" w:color="auto"/>
          </w:divBdr>
        </w:div>
        <w:div w:id="128286574">
          <w:marLeft w:val="0"/>
          <w:marRight w:val="0"/>
          <w:marTop w:val="0"/>
          <w:marBottom w:val="0"/>
          <w:divBdr>
            <w:top w:val="none" w:sz="0" w:space="0" w:color="auto"/>
            <w:left w:val="none" w:sz="0" w:space="0" w:color="auto"/>
            <w:bottom w:val="none" w:sz="0" w:space="0" w:color="auto"/>
            <w:right w:val="none" w:sz="0" w:space="0" w:color="auto"/>
          </w:divBdr>
        </w:div>
        <w:div w:id="1532499350">
          <w:marLeft w:val="0"/>
          <w:marRight w:val="0"/>
          <w:marTop w:val="0"/>
          <w:marBottom w:val="0"/>
          <w:divBdr>
            <w:top w:val="none" w:sz="0" w:space="0" w:color="auto"/>
            <w:left w:val="none" w:sz="0" w:space="0" w:color="auto"/>
            <w:bottom w:val="none" w:sz="0" w:space="0" w:color="auto"/>
            <w:right w:val="none" w:sz="0" w:space="0" w:color="auto"/>
          </w:divBdr>
        </w:div>
        <w:div w:id="844174000">
          <w:marLeft w:val="0"/>
          <w:marRight w:val="0"/>
          <w:marTop w:val="0"/>
          <w:marBottom w:val="0"/>
          <w:divBdr>
            <w:top w:val="none" w:sz="0" w:space="0" w:color="auto"/>
            <w:left w:val="none" w:sz="0" w:space="0" w:color="auto"/>
            <w:bottom w:val="none" w:sz="0" w:space="0" w:color="auto"/>
            <w:right w:val="none" w:sz="0" w:space="0" w:color="auto"/>
          </w:divBdr>
        </w:div>
        <w:div w:id="2144690831">
          <w:marLeft w:val="0"/>
          <w:marRight w:val="0"/>
          <w:marTop w:val="0"/>
          <w:marBottom w:val="0"/>
          <w:divBdr>
            <w:top w:val="none" w:sz="0" w:space="0" w:color="auto"/>
            <w:left w:val="none" w:sz="0" w:space="0" w:color="auto"/>
            <w:bottom w:val="none" w:sz="0" w:space="0" w:color="auto"/>
            <w:right w:val="none" w:sz="0" w:space="0" w:color="auto"/>
          </w:divBdr>
        </w:div>
        <w:div w:id="1057824163">
          <w:marLeft w:val="0"/>
          <w:marRight w:val="0"/>
          <w:marTop w:val="0"/>
          <w:marBottom w:val="0"/>
          <w:divBdr>
            <w:top w:val="none" w:sz="0" w:space="0" w:color="auto"/>
            <w:left w:val="none" w:sz="0" w:space="0" w:color="auto"/>
            <w:bottom w:val="none" w:sz="0" w:space="0" w:color="auto"/>
            <w:right w:val="none" w:sz="0" w:space="0" w:color="auto"/>
          </w:divBdr>
        </w:div>
        <w:div w:id="432555862">
          <w:marLeft w:val="0"/>
          <w:marRight w:val="0"/>
          <w:marTop w:val="0"/>
          <w:marBottom w:val="0"/>
          <w:divBdr>
            <w:top w:val="none" w:sz="0" w:space="0" w:color="auto"/>
            <w:left w:val="none" w:sz="0" w:space="0" w:color="auto"/>
            <w:bottom w:val="none" w:sz="0" w:space="0" w:color="auto"/>
            <w:right w:val="none" w:sz="0" w:space="0" w:color="auto"/>
          </w:divBdr>
        </w:div>
        <w:div w:id="1432355335">
          <w:marLeft w:val="0"/>
          <w:marRight w:val="0"/>
          <w:marTop w:val="0"/>
          <w:marBottom w:val="0"/>
          <w:divBdr>
            <w:top w:val="none" w:sz="0" w:space="0" w:color="auto"/>
            <w:left w:val="none" w:sz="0" w:space="0" w:color="auto"/>
            <w:bottom w:val="none" w:sz="0" w:space="0" w:color="auto"/>
            <w:right w:val="none" w:sz="0" w:space="0" w:color="auto"/>
          </w:divBdr>
        </w:div>
        <w:div w:id="1013218067">
          <w:marLeft w:val="0"/>
          <w:marRight w:val="0"/>
          <w:marTop w:val="0"/>
          <w:marBottom w:val="0"/>
          <w:divBdr>
            <w:top w:val="none" w:sz="0" w:space="0" w:color="auto"/>
            <w:left w:val="none" w:sz="0" w:space="0" w:color="auto"/>
            <w:bottom w:val="none" w:sz="0" w:space="0" w:color="auto"/>
            <w:right w:val="none" w:sz="0" w:space="0" w:color="auto"/>
          </w:divBdr>
        </w:div>
        <w:div w:id="699815162">
          <w:marLeft w:val="0"/>
          <w:marRight w:val="0"/>
          <w:marTop w:val="0"/>
          <w:marBottom w:val="0"/>
          <w:divBdr>
            <w:top w:val="none" w:sz="0" w:space="0" w:color="auto"/>
            <w:left w:val="none" w:sz="0" w:space="0" w:color="auto"/>
            <w:bottom w:val="none" w:sz="0" w:space="0" w:color="auto"/>
            <w:right w:val="none" w:sz="0" w:space="0" w:color="auto"/>
          </w:divBdr>
        </w:div>
        <w:div w:id="753207305">
          <w:marLeft w:val="0"/>
          <w:marRight w:val="0"/>
          <w:marTop w:val="0"/>
          <w:marBottom w:val="0"/>
          <w:divBdr>
            <w:top w:val="none" w:sz="0" w:space="0" w:color="auto"/>
            <w:left w:val="none" w:sz="0" w:space="0" w:color="auto"/>
            <w:bottom w:val="none" w:sz="0" w:space="0" w:color="auto"/>
            <w:right w:val="none" w:sz="0" w:space="0" w:color="auto"/>
          </w:divBdr>
        </w:div>
        <w:div w:id="1092629020">
          <w:marLeft w:val="0"/>
          <w:marRight w:val="0"/>
          <w:marTop w:val="0"/>
          <w:marBottom w:val="0"/>
          <w:divBdr>
            <w:top w:val="none" w:sz="0" w:space="0" w:color="auto"/>
            <w:left w:val="none" w:sz="0" w:space="0" w:color="auto"/>
            <w:bottom w:val="none" w:sz="0" w:space="0" w:color="auto"/>
            <w:right w:val="none" w:sz="0" w:space="0" w:color="auto"/>
          </w:divBdr>
        </w:div>
        <w:div w:id="1857421558">
          <w:marLeft w:val="0"/>
          <w:marRight w:val="0"/>
          <w:marTop w:val="0"/>
          <w:marBottom w:val="0"/>
          <w:divBdr>
            <w:top w:val="none" w:sz="0" w:space="0" w:color="auto"/>
            <w:left w:val="none" w:sz="0" w:space="0" w:color="auto"/>
            <w:bottom w:val="none" w:sz="0" w:space="0" w:color="auto"/>
            <w:right w:val="none" w:sz="0" w:space="0" w:color="auto"/>
          </w:divBdr>
        </w:div>
        <w:div w:id="1570651487">
          <w:marLeft w:val="0"/>
          <w:marRight w:val="0"/>
          <w:marTop w:val="0"/>
          <w:marBottom w:val="0"/>
          <w:divBdr>
            <w:top w:val="none" w:sz="0" w:space="0" w:color="auto"/>
            <w:left w:val="none" w:sz="0" w:space="0" w:color="auto"/>
            <w:bottom w:val="none" w:sz="0" w:space="0" w:color="auto"/>
            <w:right w:val="none" w:sz="0" w:space="0" w:color="auto"/>
          </w:divBdr>
        </w:div>
        <w:div w:id="2118674030">
          <w:marLeft w:val="0"/>
          <w:marRight w:val="0"/>
          <w:marTop w:val="0"/>
          <w:marBottom w:val="0"/>
          <w:divBdr>
            <w:top w:val="none" w:sz="0" w:space="0" w:color="auto"/>
            <w:left w:val="none" w:sz="0" w:space="0" w:color="auto"/>
            <w:bottom w:val="none" w:sz="0" w:space="0" w:color="auto"/>
            <w:right w:val="none" w:sz="0" w:space="0" w:color="auto"/>
          </w:divBdr>
        </w:div>
        <w:div w:id="495196047">
          <w:marLeft w:val="0"/>
          <w:marRight w:val="0"/>
          <w:marTop w:val="0"/>
          <w:marBottom w:val="0"/>
          <w:divBdr>
            <w:top w:val="none" w:sz="0" w:space="0" w:color="auto"/>
            <w:left w:val="none" w:sz="0" w:space="0" w:color="auto"/>
            <w:bottom w:val="none" w:sz="0" w:space="0" w:color="auto"/>
            <w:right w:val="none" w:sz="0" w:space="0" w:color="auto"/>
          </w:divBdr>
        </w:div>
        <w:div w:id="1251889673">
          <w:marLeft w:val="0"/>
          <w:marRight w:val="0"/>
          <w:marTop w:val="0"/>
          <w:marBottom w:val="0"/>
          <w:divBdr>
            <w:top w:val="none" w:sz="0" w:space="0" w:color="auto"/>
            <w:left w:val="none" w:sz="0" w:space="0" w:color="auto"/>
            <w:bottom w:val="none" w:sz="0" w:space="0" w:color="auto"/>
            <w:right w:val="none" w:sz="0" w:space="0" w:color="auto"/>
          </w:divBdr>
        </w:div>
        <w:div w:id="1431241072">
          <w:marLeft w:val="0"/>
          <w:marRight w:val="0"/>
          <w:marTop w:val="0"/>
          <w:marBottom w:val="0"/>
          <w:divBdr>
            <w:top w:val="none" w:sz="0" w:space="0" w:color="auto"/>
            <w:left w:val="none" w:sz="0" w:space="0" w:color="auto"/>
            <w:bottom w:val="none" w:sz="0" w:space="0" w:color="auto"/>
            <w:right w:val="none" w:sz="0" w:space="0" w:color="auto"/>
          </w:divBdr>
        </w:div>
        <w:div w:id="461849701">
          <w:marLeft w:val="0"/>
          <w:marRight w:val="0"/>
          <w:marTop w:val="0"/>
          <w:marBottom w:val="0"/>
          <w:divBdr>
            <w:top w:val="none" w:sz="0" w:space="0" w:color="auto"/>
            <w:left w:val="none" w:sz="0" w:space="0" w:color="auto"/>
            <w:bottom w:val="none" w:sz="0" w:space="0" w:color="auto"/>
            <w:right w:val="none" w:sz="0" w:space="0" w:color="auto"/>
          </w:divBdr>
        </w:div>
        <w:div w:id="1770538978">
          <w:marLeft w:val="0"/>
          <w:marRight w:val="0"/>
          <w:marTop w:val="0"/>
          <w:marBottom w:val="0"/>
          <w:divBdr>
            <w:top w:val="none" w:sz="0" w:space="0" w:color="auto"/>
            <w:left w:val="none" w:sz="0" w:space="0" w:color="auto"/>
            <w:bottom w:val="none" w:sz="0" w:space="0" w:color="auto"/>
            <w:right w:val="none" w:sz="0" w:space="0" w:color="auto"/>
          </w:divBdr>
        </w:div>
        <w:div w:id="975335052">
          <w:marLeft w:val="0"/>
          <w:marRight w:val="0"/>
          <w:marTop w:val="0"/>
          <w:marBottom w:val="0"/>
          <w:divBdr>
            <w:top w:val="none" w:sz="0" w:space="0" w:color="auto"/>
            <w:left w:val="none" w:sz="0" w:space="0" w:color="auto"/>
            <w:bottom w:val="none" w:sz="0" w:space="0" w:color="auto"/>
            <w:right w:val="none" w:sz="0" w:space="0" w:color="auto"/>
          </w:divBdr>
        </w:div>
        <w:div w:id="643660528">
          <w:marLeft w:val="0"/>
          <w:marRight w:val="0"/>
          <w:marTop w:val="0"/>
          <w:marBottom w:val="0"/>
          <w:divBdr>
            <w:top w:val="none" w:sz="0" w:space="0" w:color="auto"/>
            <w:left w:val="none" w:sz="0" w:space="0" w:color="auto"/>
            <w:bottom w:val="none" w:sz="0" w:space="0" w:color="auto"/>
            <w:right w:val="none" w:sz="0" w:space="0" w:color="auto"/>
          </w:divBdr>
        </w:div>
        <w:div w:id="1770854479">
          <w:marLeft w:val="0"/>
          <w:marRight w:val="0"/>
          <w:marTop w:val="0"/>
          <w:marBottom w:val="0"/>
          <w:divBdr>
            <w:top w:val="none" w:sz="0" w:space="0" w:color="auto"/>
            <w:left w:val="none" w:sz="0" w:space="0" w:color="auto"/>
            <w:bottom w:val="none" w:sz="0" w:space="0" w:color="auto"/>
            <w:right w:val="none" w:sz="0" w:space="0" w:color="auto"/>
          </w:divBdr>
        </w:div>
        <w:div w:id="319965962">
          <w:marLeft w:val="0"/>
          <w:marRight w:val="0"/>
          <w:marTop w:val="0"/>
          <w:marBottom w:val="0"/>
          <w:divBdr>
            <w:top w:val="none" w:sz="0" w:space="0" w:color="auto"/>
            <w:left w:val="none" w:sz="0" w:space="0" w:color="auto"/>
            <w:bottom w:val="none" w:sz="0" w:space="0" w:color="auto"/>
            <w:right w:val="none" w:sz="0" w:space="0" w:color="auto"/>
          </w:divBdr>
        </w:div>
        <w:div w:id="1412385125">
          <w:marLeft w:val="0"/>
          <w:marRight w:val="0"/>
          <w:marTop w:val="0"/>
          <w:marBottom w:val="0"/>
          <w:divBdr>
            <w:top w:val="none" w:sz="0" w:space="0" w:color="auto"/>
            <w:left w:val="none" w:sz="0" w:space="0" w:color="auto"/>
            <w:bottom w:val="none" w:sz="0" w:space="0" w:color="auto"/>
            <w:right w:val="none" w:sz="0" w:space="0" w:color="auto"/>
          </w:divBdr>
        </w:div>
        <w:div w:id="1301426150">
          <w:marLeft w:val="0"/>
          <w:marRight w:val="0"/>
          <w:marTop w:val="0"/>
          <w:marBottom w:val="0"/>
          <w:divBdr>
            <w:top w:val="none" w:sz="0" w:space="0" w:color="auto"/>
            <w:left w:val="none" w:sz="0" w:space="0" w:color="auto"/>
            <w:bottom w:val="none" w:sz="0" w:space="0" w:color="auto"/>
            <w:right w:val="none" w:sz="0" w:space="0" w:color="auto"/>
          </w:divBdr>
        </w:div>
        <w:div w:id="716441424">
          <w:marLeft w:val="0"/>
          <w:marRight w:val="0"/>
          <w:marTop w:val="0"/>
          <w:marBottom w:val="0"/>
          <w:divBdr>
            <w:top w:val="none" w:sz="0" w:space="0" w:color="auto"/>
            <w:left w:val="none" w:sz="0" w:space="0" w:color="auto"/>
            <w:bottom w:val="none" w:sz="0" w:space="0" w:color="auto"/>
            <w:right w:val="none" w:sz="0" w:space="0" w:color="auto"/>
          </w:divBdr>
        </w:div>
        <w:div w:id="180627208">
          <w:marLeft w:val="0"/>
          <w:marRight w:val="0"/>
          <w:marTop w:val="0"/>
          <w:marBottom w:val="0"/>
          <w:divBdr>
            <w:top w:val="none" w:sz="0" w:space="0" w:color="auto"/>
            <w:left w:val="none" w:sz="0" w:space="0" w:color="auto"/>
            <w:bottom w:val="none" w:sz="0" w:space="0" w:color="auto"/>
            <w:right w:val="none" w:sz="0" w:space="0" w:color="auto"/>
          </w:divBdr>
        </w:div>
        <w:div w:id="1631470958">
          <w:marLeft w:val="0"/>
          <w:marRight w:val="0"/>
          <w:marTop w:val="0"/>
          <w:marBottom w:val="0"/>
          <w:divBdr>
            <w:top w:val="none" w:sz="0" w:space="0" w:color="auto"/>
            <w:left w:val="none" w:sz="0" w:space="0" w:color="auto"/>
            <w:bottom w:val="none" w:sz="0" w:space="0" w:color="auto"/>
            <w:right w:val="none" w:sz="0" w:space="0" w:color="auto"/>
          </w:divBdr>
        </w:div>
        <w:div w:id="952633979">
          <w:marLeft w:val="0"/>
          <w:marRight w:val="0"/>
          <w:marTop w:val="0"/>
          <w:marBottom w:val="0"/>
          <w:divBdr>
            <w:top w:val="none" w:sz="0" w:space="0" w:color="auto"/>
            <w:left w:val="none" w:sz="0" w:space="0" w:color="auto"/>
            <w:bottom w:val="none" w:sz="0" w:space="0" w:color="auto"/>
            <w:right w:val="none" w:sz="0" w:space="0" w:color="auto"/>
          </w:divBdr>
        </w:div>
        <w:div w:id="190264351">
          <w:marLeft w:val="0"/>
          <w:marRight w:val="0"/>
          <w:marTop w:val="0"/>
          <w:marBottom w:val="0"/>
          <w:divBdr>
            <w:top w:val="none" w:sz="0" w:space="0" w:color="auto"/>
            <w:left w:val="none" w:sz="0" w:space="0" w:color="auto"/>
            <w:bottom w:val="none" w:sz="0" w:space="0" w:color="auto"/>
            <w:right w:val="none" w:sz="0" w:space="0" w:color="auto"/>
          </w:divBdr>
        </w:div>
        <w:div w:id="561722269">
          <w:marLeft w:val="0"/>
          <w:marRight w:val="0"/>
          <w:marTop w:val="0"/>
          <w:marBottom w:val="0"/>
          <w:divBdr>
            <w:top w:val="none" w:sz="0" w:space="0" w:color="auto"/>
            <w:left w:val="none" w:sz="0" w:space="0" w:color="auto"/>
            <w:bottom w:val="none" w:sz="0" w:space="0" w:color="auto"/>
            <w:right w:val="none" w:sz="0" w:space="0" w:color="auto"/>
          </w:divBdr>
        </w:div>
        <w:div w:id="731347253">
          <w:marLeft w:val="0"/>
          <w:marRight w:val="0"/>
          <w:marTop w:val="0"/>
          <w:marBottom w:val="0"/>
          <w:divBdr>
            <w:top w:val="none" w:sz="0" w:space="0" w:color="auto"/>
            <w:left w:val="none" w:sz="0" w:space="0" w:color="auto"/>
            <w:bottom w:val="none" w:sz="0" w:space="0" w:color="auto"/>
            <w:right w:val="none" w:sz="0" w:space="0" w:color="auto"/>
          </w:divBdr>
        </w:div>
        <w:div w:id="511993315">
          <w:marLeft w:val="0"/>
          <w:marRight w:val="0"/>
          <w:marTop w:val="0"/>
          <w:marBottom w:val="0"/>
          <w:divBdr>
            <w:top w:val="none" w:sz="0" w:space="0" w:color="auto"/>
            <w:left w:val="none" w:sz="0" w:space="0" w:color="auto"/>
            <w:bottom w:val="none" w:sz="0" w:space="0" w:color="auto"/>
            <w:right w:val="none" w:sz="0" w:space="0" w:color="auto"/>
          </w:divBdr>
        </w:div>
      </w:divsChild>
    </w:div>
    <w:div w:id="1416243381">
      <w:bodyDiv w:val="1"/>
      <w:marLeft w:val="0"/>
      <w:marRight w:val="0"/>
      <w:marTop w:val="0"/>
      <w:marBottom w:val="0"/>
      <w:divBdr>
        <w:top w:val="none" w:sz="0" w:space="0" w:color="auto"/>
        <w:left w:val="none" w:sz="0" w:space="0" w:color="auto"/>
        <w:bottom w:val="none" w:sz="0" w:space="0" w:color="auto"/>
        <w:right w:val="none" w:sz="0" w:space="0" w:color="auto"/>
      </w:divBdr>
    </w:div>
    <w:div w:id="1604411896">
      <w:bodyDiv w:val="1"/>
      <w:marLeft w:val="0"/>
      <w:marRight w:val="0"/>
      <w:marTop w:val="0"/>
      <w:marBottom w:val="0"/>
      <w:divBdr>
        <w:top w:val="none" w:sz="0" w:space="0" w:color="auto"/>
        <w:left w:val="none" w:sz="0" w:space="0" w:color="auto"/>
        <w:bottom w:val="none" w:sz="0" w:space="0" w:color="auto"/>
        <w:right w:val="none" w:sz="0" w:space="0" w:color="auto"/>
      </w:divBdr>
    </w:div>
    <w:div w:id="1822884465">
      <w:bodyDiv w:val="1"/>
      <w:marLeft w:val="0"/>
      <w:marRight w:val="0"/>
      <w:marTop w:val="0"/>
      <w:marBottom w:val="0"/>
      <w:divBdr>
        <w:top w:val="none" w:sz="0" w:space="0" w:color="auto"/>
        <w:left w:val="none" w:sz="0" w:space="0" w:color="auto"/>
        <w:bottom w:val="none" w:sz="0" w:space="0" w:color="auto"/>
        <w:right w:val="none" w:sz="0" w:space="0" w:color="auto"/>
      </w:divBdr>
    </w:div>
    <w:div w:id="1959019984">
      <w:bodyDiv w:val="1"/>
      <w:marLeft w:val="0"/>
      <w:marRight w:val="0"/>
      <w:marTop w:val="0"/>
      <w:marBottom w:val="0"/>
      <w:divBdr>
        <w:top w:val="none" w:sz="0" w:space="0" w:color="auto"/>
        <w:left w:val="none" w:sz="0" w:space="0" w:color="auto"/>
        <w:bottom w:val="none" w:sz="0" w:space="0" w:color="auto"/>
        <w:right w:val="none" w:sz="0" w:space="0" w:color="auto"/>
      </w:divBdr>
    </w:div>
    <w:div w:id="2021392952">
      <w:bodyDiv w:val="1"/>
      <w:marLeft w:val="0"/>
      <w:marRight w:val="0"/>
      <w:marTop w:val="0"/>
      <w:marBottom w:val="0"/>
      <w:divBdr>
        <w:top w:val="none" w:sz="0" w:space="0" w:color="auto"/>
        <w:left w:val="none" w:sz="0" w:space="0" w:color="auto"/>
        <w:bottom w:val="none" w:sz="0" w:space="0" w:color="auto"/>
        <w:right w:val="none" w:sz="0" w:space="0" w:color="auto"/>
      </w:divBdr>
    </w:div>
    <w:div w:id="21438887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6ABCEAF-BDCD-4AC7-8082-AC0B768EB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8C36D770</Template>
  <TotalTime>6</TotalTime>
  <Pages>3</Pages>
  <Words>1213</Words>
  <Characters>6915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Luke Pipe</dc:creator>
  <cp:lastModifiedBy>rlockyer</cp:lastModifiedBy>
  <cp:revision>5</cp:revision>
  <cp:lastPrinted>2017-06-28T13:43:00Z</cp:lastPrinted>
  <dcterms:created xsi:type="dcterms:W3CDTF">2019-10-18T11:50:00Z</dcterms:created>
  <dcterms:modified xsi:type="dcterms:W3CDTF">2019-10-18T11:56:00Z</dcterms:modified>
</cp:coreProperties>
</file>